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87666051"/>
        <w:docPartObj>
          <w:docPartGallery w:val="Cover Pages"/>
          <w:docPartUnique/>
        </w:docPartObj>
      </w:sdtPr>
      <w:sdtContent>
        <w:p w14:paraId="3D08D26C" w14:textId="28C94DA5" w:rsidR="00E90734" w:rsidRDefault="00E907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7D3F5F" wp14:editId="5DF4D3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501D28" w14:textId="212FA31B" w:rsidR="00E90734" w:rsidRDefault="00E907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Chethan Singh</w:t>
                                      </w:r>
                                      <w:r w:rsidR="009E001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 J</w:t>
                                      </w:r>
                                    </w:p>
                                  </w:sdtContent>
                                </w:sdt>
                                <w:p w14:paraId="437B5E60" w14:textId="02DB287C" w:rsidR="00E90734" w:rsidRDefault="00E9073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521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CMU-Heinz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521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Pittsburgh</w:t>
                                      </w:r>
                                      <w:r w:rsidR="009E001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-pa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E0505B" w14:textId="7A20E239" w:rsidR="00E90734" w:rsidRDefault="000416A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US </w:t>
                                      </w:r>
                                      <w:r w:rsidR="00450F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ounties </w:t>
                                      </w:r>
                                      <w:r w:rsidR="00450F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</w:t>
                                      </w:r>
                                      <w:r w:rsidR="004626C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t </w:t>
                                      </w:r>
                                      <w:r w:rsidR="00450F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</w:t>
                                      </w:r>
                                      <w:r w:rsidR="004626C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isk </w:t>
                                      </w:r>
                                      <w:r w:rsidR="00450F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</w:t>
                                      </w:r>
                                      <w:r w:rsidR="004626C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or </w:t>
                                      </w:r>
                                      <w:r w:rsidR="00450F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 pandemic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E7797D7" w14:textId="3F1665D8" w:rsidR="00E90734" w:rsidRDefault="005A1EC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GIS – 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7D3F5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501D28" w14:textId="212FA31B" w:rsidR="00E90734" w:rsidRDefault="00E907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Chethan Singh</w:t>
                                </w:r>
                                <w:r w:rsidR="009E001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 J</w:t>
                                </w:r>
                              </w:p>
                            </w:sdtContent>
                          </w:sdt>
                          <w:p w14:paraId="437B5E60" w14:textId="02DB287C" w:rsidR="00E90734" w:rsidRDefault="00E9073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521CC">
                                  <w:rPr>
                                    <w:caps/>
                                    <w:color w:val="FFFFFF" w:themeColor="background1"/>
                                  </w:rPr>
                                  <w:t>CMU-Heinz College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521CC">
                                  <w:rPr>
                                    <w:caps/>
                                    <w:color w:val="FFFFFF" w:themeColor="background1"/>
                                  </w:rPr>
                                  <w:t>Pittsburgh</w:t>
                                </w:r>
                                <w:r w:rsidR="009E0015">
                                  <w:rPr>
                                    <w:caps/>
                                    <w:color w:val="FFFFFF" w:themeColor="background1"/>
                                  </w:rPr>
                                  <w:t>-pa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E0505B" w14:textId="7A20E239" w:rsidR="00E90734" w:rsidRDefault="000416A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US </w:t>
                                </w:r>
                                <w:r w:rsidR="00450F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ounties </w:t>
                                </w:r>
                                <w:r w:rsidR="00450F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</w:t>
                                </w:r>
                                <w:r w:rsidR="004626C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t </w:t>
                                </w:r>
                                <w:r w:rsidR="00450F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</w:t>
                                </w:r>
                                <w:r w:rsidR="004626C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isk </w:t>
                                </w:r>
                                <w:r w:rsidR="00450F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</w:t>
                                </w:r>
                                <w:r w:rsidR="004626C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or </w:t>
                                </w:r>
                                <w:r w:rsidR="00450F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 pandemic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7797D7" w14:textId="3F1665D8" w:rsidR="00E90734" w:rsidRDefault="005A1EC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GIS – 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58599A" w14:textId="1466048D" w:rsidR="00E90734" w:rsidRDefault="00E90734">
          <w:r>
            <w:br w:type="page"/>
          </w:r>
        </w:p>
      </w:sdtContent>
    </w:sdt>
    <w:p w14:paraId="50FB49EE" w14:textId="6B8456AE" w:rsidR="00A50C02" w:rsidRPr="00C85F84" w:rsidRDefault="00A50C02">
      <w:pPr>
        <w:rPr>
          <w:sz w:val="28"/>
          <w:szCs w:val="28"/>
        </w:rPr>
      </w:pPr>
    </w:p>
    <w:p w14:paraId="7B0B23BF" w14:textId="611AB07C" w:rsidR="007B781D" w:rsidRPr="00435777" w:rsidRDefault="007E2626">
      <w:pPr>
        <w:rPr>
          <w:b/>
          <w:bCs/>
          <w:sz w:val="32"/>
          <w:szCs w:val="32"/>
        </w:rPr>
      </w:pPr>
      <w:r w:rsidRPr="00435777">
        <w:rPr>
          <w:b/>
          <w:bCs/>
          <w:sz w:val="32"/>
          <w:szCs w:val="32"/>
        </w:rPr>
        <w:t>Data</w:t>
      </w:r>
      <w:r w:rsidR="007B781D" w:rsidRPr="00435777">
        <w:rPr>
          <w:b/>
          <w:bCs/>
          <w:sz w:val="32"/>
          <w:szCs w:val="32"/>
        </w:rPr>
        <w:t>:</w:t>
      </w:r>
    </w:p>
    <w:p w14:paraId="272DE598" w14:textId="4BA6B805" w:rsidR="00C8296F" w:rsidRDefault="00C8296F">
      <w:pPr>
        <w:rPr>
          <w:sz w:val="28"/>
          <w:szCs w:val="28"/>
        </w:rPr>
      </w:pPr>
      <w:r w:rsidRPr="00C85F84">
        <w:rPr>
          <w:sz w:val="28"/>
          <w:szCs w:val="28"/>
        </w:rPr>
        <w:t xml:space="preserve">Data contains </w:t>
      </w:r>
      <w:r w:rsidR="003C544E" w:rsidRPr="00C85F84">
        <w:rPr>
          <w:sz w:val="28"/>
          <w:szCs w:val="28"/>
        </w:rPr>
        <w:t xml:space="preserve">demographic details at </w:t>
      </w:r>
      <w:r w:rsidR="000270E2">
        <w:rPr>
          <w:sz w:val="28"/>
          <w:szCs w:val="28"/>
        </w:rPr>
        <w:t xml:space="preserve">the </w:t>
      </w:r>
      <w:r w:rsidR="003C544E" w:rsidRPr="00C85F84">
        <w:rPr>
          <w:sz w:val="28"/>
          <w:szCs w:val="28"/>
        </w:rPr>
        <w:t xml:space="preserve">county level. </w:t>
      </w:r>
      <w:r w:rsidR="00403617">
        <w:rPr>
          <w:sz w:val="28"/>
          <w:szCs w:val="28"/>
        </w:rPr>
        <w:t>Demographic details include</w:t>
      </w:r>
      <w:r w:rsidR="00A3242C">
        <w:rPr>
          <w:sz w:val="28"/>
          <w:szCs w:val="28"/>
        </w:rPr>
        <w:t xml:space="preserve"> various age groups, </w:t>
      </w:r>
      <w:r w:rsidR="0078372B">
        <w:rPr>
          <w:sz w:val="28"/>
          <w:szCs w:val="28"/>
        </w:rPr>
        <w:t>ethnicity,</w:t>
      </w:r>
      <w:r w:rsidR="008A20D4">
        <w:rPr>
          <w:sz w:val="28"/>
          <w:szCs w:val="28"/>
        </w:rPr>
        <w:t xml:space="preserve"> gender, housing stats</w:t>
      </w:r>
      <w:r w:rsidR="0078372B">
        <w:rPr>
          <w:sz w:val="28"/>
          <w:szCs w:val="28"/>
        </w:rPr>
        <w:t>, etc. Out of these</w:t>
      </w:r>
      <w:r w:rsidR="00D25C8F">
        <w:rPr>
          <w:sz w:val="28"/>
          <w:szCs w:val="28"/>
        </w:rPr>
        <w:t xml:space="preserve"> details, risk analysis for </w:t>
      </w:r>
      <w:r w:rsidR="00C21D6B">
        <w:rPr>
          <w:sz w:val="28"/>
          <w:szCs w:val="28"/>
        </w:rPr>
        <w:t xml:space="preserve">a </w:t>
      </w:r>
      <w:r w:rsidR="00D25C8F">
        <w:rPr>
          <w:sz w:val="28"/>
          <w:szCs w:val="28"/>
        </w:rPr>
        <w:t xml:space="preserve">pandemic </w:t>
      </w:r>
      <w:r w:rsidR="00C943B0">
        <w:rPr>
          <w:sz w:val="28"/>
          <w:szCs w:val="28"/>
        </w:rPr>
        <w:t xml:space="preserve">like COVID-19 </w:t>
      </w:r>
      <w:r w:rsidR="00F255F7">
        <w:rPr>
          <w:sz w:val="28"/>
          <w:szCs w:val="28"/>
        </w:rPr>
        <w:t xml:space="preserve">requires </w:t>
      </w:r>
      <w:r w:rsidR="004F4C49">
        <w:rPr>
          <w:sz w:val="28"/>
          <w:szCs w:val="28"/>
        </w:rPr>
        <w:t xml:space="preserve">below </w:t>
      </w:r>
      <w:r w:rsidR="004F3514">
        <w:rPr>
          <w:sz w:val="28"/>
          <w:szCs w:val="28"/>
        </w:rPr>
        <w:t>numbers</w:t>
      </w:r>
      <w:r w:rsidR="004F4C49">
        <w:rPr>
          <w:sz w:val="28"/>
          <w:szCs w:val="28"/>
        </w:rPr>
        <w:t>:</w:t>
      </w:r>
    </w:p>
    <w:p w14:paraId="5EA048B8" w14:textId="7A6C427C" w:rsidR="00D84C82" w:rsidRDefault="004F4C49" w:rsidP="00D84C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3514">
        <w:rPr>
          <w:sz w:val="28"/>
          <w:szCs w:val="28"/>
        </w:rPr>
        <w:t>Elderl</w:t>
      </w:r>
      <w:r w:rsidR="00511F2F" w:rsidRPr="004F3514">
        <w:rPr>
          <w:sz w:val="28"/>
          <w:szCs w:val="28"/>
        </w:rPr>
        <w:t>y population over age 65</w:t>
      </w:r>
    </w:p>
    <w:p w14:paraId="2A6E7B7E" w14:textId="358E29F7" w:rsidR="00E90734" w:rsidRDefault="00D84C82" w:rsidP="00D84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Population density</w:t>
      </w:r>
    </w:p>
    <w:p w14:paraId="29ECC39F" w14:textId="3192144A" w:rsidR="00D84C82" w:rsidRDefault="00D84C82" w:rsidP="00D84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housing units</w:t>
      </w:r>
    </w:p>
    <w:p w14:paraId="4C21352C" w14:textId="4883DF1C" w:rsidR="00CA04E0" w:rsidRDefault="00CA04E0" w:rsidP="00CA04E0">
      <w:pPr>
        <w:rPr>
          <w:sz w:val="28"/>
          <w:szCs w:val="28"/>
        </w:rPr>
      </w:pPr>
    </w:p>
    <w:p w14:paraId="06130F04" w14:textId="2580DA94" w:rsidR="00CA04E0" w:rsidRPr="00435777" w:rsidRDefault="00CA04E0" w:rsidP="00CA04E0">
      <w:pPr>
        <w:rPr>
          <w:b/>
          <w:bCs/>
          <w:sz w:val="32"/>
          <w:szCs w:val="32"/>
        </w:rPr>
      </w:pPr>
      <w:r w:rsidRPr="00435777">
        <w:rPr>
          <w:b/>
          <w:bCs/>
          <w:sz w:val="32"/>
          <w:szCs w:val="32"/>
        </w:rPr>
        <w:t>Observations:</w:t>
      </w:r>
    </w:p>
    <w:p w14:paraId="5B4E309D" w14:textId="2857D4DA" w:rsidR="00CA04E0" w:rsidRDefault="000B6D2A" w:rsidP="0091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New York </w:t>
      </w:r>
      <w:proofErr w:type="gramStart"/>
      <w:r>
        <w:rPr>
          <w:sz w:val="28"/>
          <w:szCs w:val="28"/>
        </w:rPr>
        <w:t>city’s</w:t>
      </w:r>
      <w:proofErr w:type="gramEnd"/>
      <w:r>
        <w:rPr>
          <w:sz w:val="28"/>
          <w:szCs w:val="28"/>
        </w:rPr>
        <w:t xml:space="preserve"> two of the </w:t>
      </w:r>
      <w:r w:rsidR="002C7162">
        <w:rPr>
          <w:sz w:val="28"/>
          <w:szCs w:val="28"/>
        </w:rPr>
        <w:t>fi</w:t>
      </w:r>
      <w:r w:rsidR="00F40E20">
        <w:rPr>
          <w:sz w:val="28"/>
          <w:szCs w:val="28"/>
        </w:rPr>
        <w:t xml:space="preserve">ve boroughs – Kings </w:t>
      </w:r>
      <w:r w:rsidR="006E7B79">
        <w:rPr>
          <w:sz w:val="28"/>
          <w:szCs w:val="28"/>
        </w:rPr>
        <w:t>County (</w:t>
      </w:r>
      <w:r w:rsidR="00F40E20">
        <w:rPr>
          <w:sz w:val="28"/>
          <w:szCs w:val="28"/>
        </w:rPr>
        <w:t>Brooklyn) and Queens County</w:t>
      </w:r>
      <w:r w:rsidR="00111B35">
        <w:rPr>
          <w:sz w:val="28"/>
          <w:szCs w:val="28"/>
        </w:rPr>
        <w:t xml:space="preserve"> not only are among </w:t>
      </w:r>
      <w:r w:rsidR="00532735">
        <w:rPr>
          <w:sz w:val="28"/>
          <w:szCs w:val="28"/>
        </w:rPr>
        <w:t xml:space="preserve">the </w:t>
      </w:r>
      <w:r w:rsidR="00111B35">
        <w:rPr>
          <w:sz w:val="28"/>
          <w:szCs w:val="28"/>
        </w:rPr>
        <w:t xml:space="preserve">top 5 counties with </w:t>
      </w:r>
      <w:r w:rsidR="00532735">
        <w:rPr>
          <w:sz w:val="28"/>
          <w:szCs w:val="28"/>
        </w:rPr>
        <w:t xml:space="preserve">the </w:t>
      </w:r>
      <w:r w:rsidR="00111B35">
        <w:rPr>
          <w:sz w:val="28"/>
          <w:szCs w:val="28"/>
        </w:rPr>
        <w:t xml:space="preserve">highest population density but also among </w:t>
      </w:r>
      <w:r w:rsidR="00532735">
        <w:rPr>
          <w:sz w:val="28"/>
          <w:szCs w:val="28"/>
        </w:rPr>
        <w:t xml:space="preserve">the </w:t>
      </w:r>
      <w:r w:rsidR="00111B35">
        <w:rPr>
          <w:sz w:val="28"/>
          <w:szCs w:val="28"/>
        </w:rPr>
        <w:t xml:space="preserve">top 10 counties for </w:t>
      </w:r>
      <w:r w:rsidR="00532735">
        <w:rPr>
          <w:sz w:val="28"/>
          <w:szCs w:val="28"/>
        </w:rPr>
        <w:t xml:space="preserve">the </w:t>
      </w:r>
      <w:r w:rsidR="00111B35">
        <w:rPr>
          <w:sz w:val="28"/>
          <w:szCs w:val="28"/>
        </w:rPr>
        <w:t>elderly population. No wonder i</w:t>
      </w:r>
      <w:r w:rsidR="009124F7">
        <w:rPr>
          <w:sz w:val="28"/>
          <w:szCs w:val="28"/>
        </w:rPr>
        <w:t xml:space="preserve">n this pandemic of COVID-19, we are </w:t>
      </w:r>
      <w:r w:rsidR="006E045C">
        <w:rPr>
          <w:sz w:val="28"/>
          <w:szCs w:val="28"/>
        </w:rPr>
        <w:t xml:space="preserve">witnessing </w:t>
      </w:r>
      <w:r w:rsidR="00536177">
        <w:rPr>
          <w:sz w:val="28"/>
          <w:szCs w:val="28"/>
        </w:rPr>
        <w:t xml:space="preserve">the </w:t>
      </w:r>
      <w:r w:rsidR="00962061">
        <w:rPr>
          <w:sz w:val="28"/>
          <w:szCs w:val="28"/>
        </w:rPr>
        <w:t>highest infection</w:t>
      </w:r>
      <w:r w:rsidR="00536177">
        <w:rPr>
          <w:sz w:val="28"/>
          <w:szCs w:val="28"/>
        </w:rPr>
        <w:t>s</w:t>
      </w:r>
      <w:r w:rsidR="00962061">
        <w:rPr>
          <w:sz w:val="28"/>
          <w:szCs w:val="28"/>
        </w:rPr>
        <w:t xml:space="preserve"> </w:t>
      </w:r>
      <w:r w:rsidR="00D11169">
        <w:rPr>
          <w:sz w:val="28"/>
          <w:szCs w:val="28"/>
        </w:rPr>
        <w:t xml:space="preserve">and deaths </w:t>
      </w:r>
      <w:r w:rsidR="001E7179">
        <w:rPr>
          <w:sz w:val="28"/>
          <w:szCs w:val="28"/>
        </w:rPr>
        <w:t>in New York City</w:t>
      </w:r>
      <w:r w:rsidR="00D11169">
        <w:rPr>
          <w:sz w:val="28"/>
          <w:szCs w:val="28"/>
        </w:rPr>
        <w:t>.</w:t>
      </w:r>
    </w:p>
    <w:p w14:paraId="1D75BA57" w14:textId="450E067F" w:rsidR="009C3A11" w:rsidRDefault="00203D17" w:rsidP="0091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the map of top counties for population density (figure 1), </w:t>
      </w:r>
      <w:r w:rsidR="001863D7">
        <w:rPr>
          <w:sz w:val="28"/>
          <w:szCs w:val="28"/>
        </w:rPr>
        <w:t>it can be inferred that New York City and Philadelphia</w:t>
      </w:r>
      <w:r w:rsidR="00A56CAB">
        <w:rPr>
          <w:sz w:val="28"/>
          <w:szCs w:val="28"/>
        </w:rPr>
        <w:t xml:space="preserve"> City </w:t>
      </w:r>
      <w:r w:rsidR="00EE114A">
        <w:rPr>
          <w:sz w:val="28"/>
          <w:szCs w:val="28"/>
        </w:rPr>
        <w:t>are USA’s densely populated cities.</w:t>
      </w:r>
      <w:r w:rsidR="00BA2506">
        <w:rPr>
          <w:sz w:val="28"/>
          <w:szCs w:val="28"/>
        </w:rPr>
        <w:t xml:space="preserve"> Though </w:t>
      </w:r>
      <w:r w:rsidR="00F47995">
        <w:rPr>
          <w:sz w:val="28"/>
          <w:szCs w:val="28"/>
        </w:rPr>
        <w:t>Philadelphia</w:t>
      </w:r>
      <w:r w:rsidR="00BA2506">
        <w:rPr>
          <w:sz w:val="28"/>
          <w:szCs w:val="28"/>
        </w:rPr>
        <w:t xml:space="preserve"> County is not among top</w:t>
      </w:r>
      <w:r w:rsidR="00AB29BA">
        <w:rPr>
          <w:sz w:val="28"/>
          <w:szCs w:val="28"/>
        </w:rPr>
        <w:t xml:space="preserve"> counties for elderly population, </w:t>
      </w:r>
      <w:r w:rsidR="00F311A4">
        <w:rPr>
          <w:sz w:val="28"/>
          <w:szCs w:val="28"/>
        </w:rPr>
        <w:t xml:space="preserve">much </w:t>
      </w:r>
      <w:r w:rsidR="00AB29BA">
        <w:rPr>
          <w:sz w:val="28"/>
          <w:szCs w:val="28"/>
        </w:rPr>
        <w:t>high</w:t>
      </w:r>
      <w:r w:rsidR="00F311A4">
        <w:rPr>
          <w:sz w:val="28"/>
          <w:szCs w:val="28"/>
        </w:rPr>
        <w:t>er</w:t>
      </w:r>
      <w:r w:rsidR="00AB29BA">
        <w:rPr>
          <w:sz w:val="28"/>
          <w:szCs w:val="28"/>
        </w:rPr>
        <w:t xml:space="preserve"> infection rates </w:t>
      </w:r>
      <w:proofErr w:type="gramStart"/>
      <w:r w:rsidR="007A152C">
        <w:rPr>
          <w:sz w:val="28"/>
          <w:szCs w:val="28"/>
        </w:rPr>
        <w:t>is</w:t>
      </w:r>
      <w:proofErr w:type="gramEnd"/>
      <w:r w:rsidR="007A152C">
        <w:rPr>
          <w:sz w:val="28"/>
          <w:szCs w:val="28"/>
        </w:rPr>
        <w:t xml:space="preserve"> being recorded </w:t>
      </w:r>
      <w:r w:rsidR="00085E5D">
        <w:rPr>
          <w:sz w:val="28"/>
          <w:szCs w:val="28"/>
        </w:rPr>
        <w:t xml:space="preserve">in current pandemic </w:t>
      </w:r>
      <w:r w:rsidR="00AB29BA">
        <w:rPr>
          <w:sz w:val="28"/>
          <w:szCs w:val="28"/>
        </w:rPr>
        <w:t xml:space="preserve">compared to </w:t>
      </w:r>
      <w:r w:rsidR="00F311A4">
        <w:rPr>
          <w:sz w:val="28"/>
          <w:szCs w:val="28"/>
        </w:rPr>
        <w:t xml:space="preserve">LA county which is the top county for elderly population. This may suggest that </w:t>
      </w:r>
      <w:r w:rsidR="0086473A">
        <w:rPr>
          <w:sz w:val="28"/>
          <w:szCs w:val="28"/>
        </w:rPr>
        <w:t xml:space="preserve">population density is a higher </w:t>
      </w:r>
      <w:r w:rsidR="00085E5D">
        <w:rPr>
          <w:sz w:val="28"/>
          <w:szCs w:val="28"/>
        </w:rPr>
        <w:t>risk factor compared to elderly population count.</w:t>
      </w:r>
    </w:p>
    <w:p w14:paraId="3AF704EB" w14:textId="560F27F3" w:rsidR="00D11169" w:rsidRPr="009169D9" w:rsidRDefault="00D657E1" w:rsidP="00916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looks lik</w:t>
      </w:r>
      <w:r w:rsidR="005768E5">
        <w:rPr>
          <w:sz w:val="28"/>
          <w:szCs w:val="28"/>
        </w:rPr>
        <w:t xml:space="preserve">e there is </w:t>
      </w:r>
      <w:r w:rsidR="00536177">
        <w:rPr>
          <w:sz w:val="28"/>
          <w:szCs w:val="28"/>
        </w:rPr>
        <w:t xml:space="preserve">a </w:t>
      </w:r>
      <w:r w:rsidR="005768E5">
        <w:rPr>
          <w:sz w:val="28"/>
          <w:szCs w:val="28"/>
        </w:rPr>
        <w:t xml:space="preserve">direct correlation between </w:t>
      </w:r>
      <w:r w:rsidR="0028533C">
        <w:rPr>
          <w:sz w:val="28"/>
          <w:szCs w:val="28"/>
        </w:rPr>
        <w:t xml:space="preserve">the </w:t>
      </w:r>
      <w:r w:rsidR="005768E5">
        <w:rPr>
          <w:sz w:val="28"/>
          <w:szCs w:val="28"/>
        </w:rPr>
        <w:t xml:space="preserve">elderly population count and </w:t>
      </w:r>
      <w:r w:rsidR="00635DC2">
        <w:rPr>
          <w:sz w:val="28"/>
          <w:szCs w:val="28"/>
        </w:rPr>
        <w:t xml:space="preserve">the </w:t>
      </w:r>
      <w:r w:rsidR="005768E5">
        <w:rPr>
          <w:sz w:val="28"/>
          <w:szCs w:val="28"/>
        </w:rPr>
        <w:t>number of housing units</w:t>
      </w:r>
      <w:r w:rsidR="001E7179">
        <w:rPr>
          <w:sz w:val="28"/>
          <w:szCs w:val="28"/>
        </w:rPr>
        <w:t xml:space="preserve">. </w:t>
      </w:r>
      <w:r w:rsidR="00CA6A4E">
        <w:rPr>
          <w:sz w:val="28"/>
          <w:szCs w:val="28"/>
        </w:rPr>
        <w:t>Because</w:t>
      </w:r>
      <w:r w:rsidR="00AA4AF7">
        <w:rPr>
          <w:sz w:val="28"/>
          <w:szCs w:val="28"/>
        </w:rPr>
        <w:t xml:space="preserve"> </w:t>
      </w:r>
      <w:r w:rsidR="00CA6A4E">
        <w:rPr>
          <w:sz w:val="28"/>
          <w:szCs w:val="28"/>
        </w:rPr>
        <w:t>8</w:t>
      </w:r>
      <w:r w:rsidR="00AA4AF7">
        <w:rPr>
          <w:sz w:val="28"/>
          <w:szCs w:val="28"/>
        </w:rPr>
        <w:t xml:space="preserve"> of the top </w:t>
      </w:r>
      <w:r w:rsidR="00CA6A4E">
        <w:rPr>
          <w:sz w:val="28"/>
          <w:szCs w:val="28"/>
        </w:rPr>
        <w:t>10</w:t>
      </w:r>
      <w:r w:rsidR="00AA4AF7">
        <w:rPr>
          <w:sz w:val="28"/>
          <w:szCs w:val="28"/>
        </w:rPr>
        <w:t xml:space="preserve"> counties for </w:t>
      </w:r>
      <w:r w:rsidR="00C82064">
        <w:rPr>
          <w:sz w:val="28"/>
          <w:szCs w:val="28"/>
        </w:rPr>
        <w:t xml:space="preserve">the </w:t>
      </w:r>
      <w:r w:rsidR="00AA4AF7">
        <w:rPr>
          <w:sz w:val="28"/>
          <w:szCs w:val="28"/>
        </w:rPr>
        <w:t xml:space="preserve">elderly population are also </w:t>
      </w:r>
      <w:r w:rsidR="004D5396">
        <w:rPr>
          <w:sz w:val="28"/>
          <w:szCs w:val="28"/>
        </w:rPr>
        <w:t xml:space="preserve">among </w:t>
      </w:r>
      <w:r w:rsidR="0028533C">
        <w:rPr>
          <w:sz w:val="28"/>
          <w:szCs w:val="28"/>
        </w:rPr>
        <w:t xml:space="preserve">the </w:t>
      </w:r>
      <w:r w:rsidR="004D5396">
        <w:rPr>
          <w:sz w:val="28"/>
          <w:szCs w:val="28"/>
        </w:rPr>
        <w:t xml:space="preserve">top </w:t>
      </w:r>
      <w:r w:rsidR="00CA6A4E">
        <w:rPr>
          <w:sz w:val="28"/>
          <w:szCs w:val="28"/>
        </w:rPr>
        <w:t>10</w:t>
      </w:r>
      <w:r w:rsidR="004D5396">
        <w:rPr>
          <w:sz w:val="28"/>
          <w:szCs w:val="28"/>
        </w:rPr>
        <w:t xml:space="preserve"> counties for </w:t>
      </w:r>
      <w:r w:rsidR="0028533C">
        <w:rPr>
          <w:sz w:val="28"/>
          <w:szCs w:val="28"/>
        </w:rPr>
        <w:t xml:space="preserve">the </w:t>
      </w:r>
      <w:r w:rsidR="004D5396">
        <w:rPr>
          <w:sz w:val="28"/>
          <w:szCs w:val="28"/>
        </w:rPr>
        <w:t xml:space="preserve">highest </w:t>
      </w:r>
      <w:r w:rsidR="00C82064">
        <w:rPr>
          <w:sz w:val="28"/>
          <w:szCs w:val="28"/>
        </w:rPr>
        <w:t xml:space="preserve">number of </w:t>
      </w:r>
      <w:r w:rsidR="004D5396">
        <w:rPr>
          <w:sz w:val="28"/>
          <w:szCs w:val="28"/>
        </w:rPr>
        <w:t>housing units.</w:t>
      </w:r>
    </w:p>
    <w:p w14:paraId="6F1D8D3A" w14:textId="0AC4F5AB" w:rsidR="00CA04E0" w:rsidRDefault="00CA04E0" w:rsidP="00CA04E0">
      <w:pPr>
        <w:rPr>
          <w:sz w:val="28"/>
          <w:szCs w:val="28"/>
        </w:rPr>
      </w:pPr>
    </w:p>
    <w:p w14:paraId="41115E1D" w14:textId="525452D4" w:rsidR="00692354" w:rsidRDefault="00692354" w:rsidP="00CA04E0">
      <w:pPr>
        <w:rPr>
          <w:sz w:val="28"/>
          <w:szCs w:val="28"/>
        </w:rPr>
      </w:pPr>
    </w:p>
    <w:p w14:paraId="07FA761F" w14:textId="2E923457" w:rsidR="00692354" w:rsidRDefault="00692354" w:rsidP="00CA04E0">
      <w:pPr>
        <w:rPr>
          <w:sz w:val="28"/>
          <w:szCs w:val="28"/>
        </w:rPr>
      </w:pPr>
    </w:p>
    <w:p w14:paraId="39EEC679" w14:textId="1840D3C5" w:rsidR="00692354" w:rsidRDefault="00692354" w:rsidP="00CA04E0">
      <w:pPr>
        <w:rPr>
          <w:sz w:val="28"/>
          <w:szCs w:val="28"/>
        </w:rPr>
      </w:pPr>
    </w:p>
    <w:p w14:paraId="399C80C1" w14:textId="31599F1B" w:rsidR="00692354" w:rsidRDefault="00FE485D" w:rsidP="00CA04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A3B75" wp14:editId="243C69B4">
            <wp:extent cx="6475636" cy="4057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753" cy="40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11B8" w14:textId="77777777" w:rsidR="00CB3CFB" w:rsidRPr="00CB3CFB" w:rsidRDefault="00CB3CFB" w:rsidP="00CB3CF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B3CF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Figure 1: US Counties with highest elderly population (US Census 2010) </w:t>
      </w:r>
    </w:p>
    <w:p w14:paraId="3DE09BB5" w14:textId="77777777" w:rsidR="00CB3CFB" w:rsidRPr="00CB3CFB" w:rsidRDefault="00CB3CFB" w:rsidP="00CB3CF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639905F" w14:textId="3BB5AD20" w:rsidR="00FE485D" w:rsidRDefault="00FE485D" w:rsidP="00CA04E0">
      <w:pPr>
        <w:rPr>
          <w:sz w:val="28"/>
          <w:szCs w:val="28"/>
        </w:rPr>
      </w:pPr>
    </w:p>
    <w:p w14:paraId="43BF65BD" w14:textId="77777777" w:rsidR="00CB3CFB" w:rsidRDefault="00CB3CFB" w:rsidP="00CA04E0">
      <w:pPr>
        <w:rPr>
          <w:sz w:val="28"/>
          <w:szCs w:val="28"/>
        </w:rPr>
      </w:pPr>
    </w:p>
    <w:p w14:paraId="631E2A6E" w14:textId="77777777" w:rsidR="00FE485D" w:rsidRPr="00CA04E0" w:rsidRDefault="00FE485D" w:rsidP="00CA04E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435D" w:rsidRPr="001D435D" w14:paraId="669E8550" w14:textId="77777777" w:rsidTr="00420F24">
        <w:tc>
          <w:tcPr>
            <w:tcW w:w="2337" w:type="dxa"/>
            <w:shd w:val="clear" w:color="auto" w:fill="CC3300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5"/>
              <w:gridCol w:w="222"/>
              <w:gridCol w:w="222"/>
              <w:gridCol w:w="222"/>
            </w:tblGrid>
            <w:tr w:rsidR="004270C1" w:rsidRPr="001D435D" w14:paraId="130A6CC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85"/>
              </w:trPr>
              <w:tc>
                <w:tcPr>
                  <w:tcW w:w="0" w:type="auto"/>
                </w:tcPr>
                <w:p w14:paraId="789660FA" w14:textId="77777777" w:rsidR="004270C1" w:rsidRPr="001D435D" w:rsidRDefault="004270C1" w:rsidP="004270C1">
                  <w:pPr>
                    <w:spacing w:after="0" w:line="240" w:lineRule="auto"/>
                    <w:rPr>
                      <w:color w:val="FFFFFF" w:themeColor="background1"/>
                      <w:sz w:val="23"/>
                      <w:szCs w:val="23"/>
                    </w:rPr>
                  </w:pPr>
                  <w:r w:rsidRPr="001D435D">
                    <w:rPr>
                      <w:color w:val="FFFFFF" w:themeColor="background1"/>
                      <w:sz w:val="23"/>
                      <w:szCs w:val="23"/>
                    </w:rPr>
                    <w:t xml:space="preserve">County and State </w:t>
                  </w:r>
                </w:p>
              </w:tc>
              <w:tc>
                <w:tcPr>
                  <w:tcW w:w="0" w:type="auto"/>
                </w:tcPr>
                <w:p w14:paraId="3C13432B" w14:textId="7F1768DC" w:rsidR="004270C1" w:rsidRPr="001D435D" w:rsidRDefault="004270C1" w:rsidP="004270C1">
                  <w:pPr>
                    <w:spacing w:after="0" w:line="240" w:lineRule="auto"/>
                    <w:rPr>
                      <w:color w:val="FFFFFF" w:themeColor="background1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4A049546" w14:textId="18DFC109" w:rsidR="004270C1" w:rsidRPr="001D435D" w:rsidRDefault="004270C1" w:rsidP="004270C1">
                  <w:pPr>
                    <w:spacing w:after="0" w:line="240" w:lineRule="auto"/>
                    <w:rPr>
                      <w:color w:val="FFFFFF" w:themeColor="background1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2CDF714D" w14:textId="062B68C7" w:rsidR="004270C1" w:rsidRPr="001D435D" w:rsidRDefault="004270C1" w:rsidP="004270C1">
                  <w:pPr>
                    <w:spacing w:after="0" w:line="240" w:lineRule="auto"/>
                    <w:rPr>
                      <w:color w:val="FFFFFF" w:themeColor="background1"/>
                      <w:sz w:val="23"/>
                      <w:szCs w:val="23"/>
                    </w:rPr>
                  </w:pPr>
                </w:p>
              </w:tc>
            </w:tr>
          </w:tbl>
          <w:p w14:paraId="6481A449" w14:textId="77777777" w:rsidR="00702170" w:rsidRPr="001D435D" w:rsidRDefault="00702170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CC3300"/>
          </w:tcPr>
          <w:p w14:paraId="5C8864F3" w14:textId="401ECA04" w:rsidR="00702170" w:rsidRPr="001D435D" w:rsidRDefault="001D435D">
            <w:pPr>
              <w:rPr>
                <w:color w:val="FFFFFF" w:themeColor="background1"/>
              </w:rPr>
            </w:pPr>
            <w:r w:rsidRPr="001D435D">
              <w:rPr>
                <w:color w:val="FFFFFF" w:themeColor="background1"/>
                <w:sz w:val="23"/>
                <w:szCs w:val="23"/>
              </w:rPr>
              <w:t>Elderly Population Over Age 65</w:t>
            </w:r>
          </w:p>
        </w:tc>
        <w:tc>
          <w:tcPr>
            <w:tcW w:w="2338" w:type="dxa"/>
            <w:shd w:val="clear" w:color="auto" w:fill="CC3300"/>
          </w:tcPr>
          <w:p w14:paraId="7795B5B6" w14:textId="5AFD2579" w:rsidR="00702170" w:rsidRPr="001D435D" w:rsidRDefault="001D435D">
            <w:pPr>
              <w:rPr>
                <w:color w:val="FFFFFF" w:themeColor="background1"/>
              </w:rPr>
            </w:pPr>
            <w:r w:rsidRPr="001D435D">
              <w:rPr>
                <w:color w:val="FFFFFF" w:themeColor="background1"/>
                <w:sz w:val="23"/>
                <w:szCs w:val="23"/>
              </w:rPr>
              <w:t>Persons Per Square Mile</w:t>
            </w:r>
          </w:p>
        </w:tc>
        <w:tc>
          <w:tcPr>
            <w:tcW w:w="2338" w:type="dxa"/>
            <w:shd w:val="clear" w:color="auto" w:fill="CC3300"/>
          </w:tcPr>
          <w:p w14:paraId="4568F57D" w14:textId="4A5F4899" w:rsidR="00702170" w:rsidRPr="001D435D" w:rsidRDefault="001D435D">
            <w:pPr>
              <w:rPr>
                <w:color w:val="FFFFFF" w:themeColor="background1"/>
              </w:rPr>
            </w:pPr>
            <w:r w:rsidRPr="001D435D">
              <w:rPr>
                <w:color w:val="FFFFFF" w:themeColor="background1"/>
                <w:sz w:val="23"/>
                <w:szCs w:val="23"/>
              </w:rPr>
              <w:t>Number of Housing Units</w:t>
            </w:r>
          </w:p>
        </w:tc>
      </w:tr>
      <w:tr w:rsidR="00420F24" w:rsidRPr="00420F24" w14:paraId="25177378" w14:textId="77777777" w:rsidTr="00420F24">
        <w:trPr>
          <w:trHeight w:val="295"/>
        </w:trPr>
        <w:tc>
          <w:tcPr>
            <w:tcW w:w="2337" w:type="dxa"/>
            <w:noWrap/>
            <w:hideMark/>
          </w:tcPr>
          <w:p w14:paraId="77505AB0" w14:textId="77777777" w:rsidR="00420F24" w:rsidRPr="00420F24" w:rsidRDefault="00420F24" w:rsidP="00420F24">
            <w:pPr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Los Angeles County, California</w:t>
            </w:r>
          </w:p>
        </w:tc>
        <w:tc>
          <w:tcPr>
            <w:tcW w:w="2337" w:type="dxa"/>
            <w:noWrap/>
            <w:hideMark/>
          </w:tcPr>
          <w:p w14:paraId="60B4149D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1,065,699</w:t>
            </w:r>
          </w:p>
        </w:tc>
        <w:tc>
          <w:tcPr>
            <w:tcW w:w="2338" w:type="dxa"/>
            <w:noWrap/>
            <w:hideMark/>
          </w:tcPr>
          <w:p w14:paraId="7787B38F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2,070.0</w:t>
            </w:r>
          </w:p>
        </w:tc>
        <w:tc>
          <w:tcPr>
            <w:tcW w:w="2338" w:type="dxa"/>
            <w:noWrap/>
            <w:hideMark/>
          </w:tcPr>
          <w:p w14:paraId="2C005DB3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3,445,076</w:t>
            </w:r>
          </w:p>
        </w:tc>
      </w:tr>
      <w:tr w:rsidR="00420F24" w:rsidRPr="00420F24" w14:paraId="5CBEBE85" w14:textId="77777777" w:rsidTr="00420F24">
        <w:trPr>
          <w:trHeight w:val="295"/>
        </w:trPr>
        <w:tc>
          <w:tcPr>
            <w:tcW w:w="2337" w:type="dxa"/>
            <w:noWrap/>
            <w:hideMark/>
          </w:tcPr>
          <w:p w14:paraId="0FB59B76" w14:textId="77777777" w:rsidR="00420F24" w:rsidRPr="00420F24" w:rsidRDefault="00420F24" w:rsidP="00420F24">
            <w:pPr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Cook County, Illinois</w:t>
            </w:r>
          </w:p>
        </w:tc>
        <w:tc>
          <w:tcPr>
            <w:tcW w:w="2337" w:type="dxa"/>
            <w:noWrap/>
            <w:hideMark/>
          </w:tcPr>
          <w:p w14:paraId="4519C1AD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620,329</w:t>
            </w:r>
          </w:p>
        </w:tc>
        <w:tc>
          <w:tcPr>
            <w:tcW w:w="2338" w:type="dxa"/>
            <w:noWrap/>
            <w:hideMark/>
          </w:tcPr>
          <w:p w14:paraId="0827F274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3,270.9</w:t>
            </w:r>
          </w:p>
        </w:tc>
        <w:tc>
          <w:tcPr>
            <w:tcW w:w="2338" w:type="dxa"/>
            <w:noWrap/>
            <w:hideMark/>
          </w:tcPr>
          <w:p w14:paraId="7F8CEF21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2,180,359</w:t>
            </w:r>
          </w:p>
        </w:tc>
      </w:tr>
      <w:tr w:rsidR="00420F24" w:rsidRPr="00420F24" w14:paraId="2CCAEB6F" w14:textId="77777777" w:rsidTr="00420F24">
        <w:trPr>
          <w:trHeight w:val="295"/>
        </w:trPr>
        <w:tc>
          <w:tcPr>
            <w:tcW w:w="2337" w:type="dxa"/>
            <w:noWrap/>
            <w:hideMark/>
          </w:tcPr>
          <w:p w14:paraId="1C9FE623" w14:textId="77777777" w:rsidR="00420F24" w:rsidRPr="00420F24" w:rsidRDefault="00420F24" w:rsidP="00420F24">
            <w:pPr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Maricopa County, Arizona</w:t>
            </w:r>
          </w:p>
        </w:tc>
        <w:tc>
          <w:tcPr>
            <w:tcW w:w="2337" w:type="dxa"/>
            <w:noWrap/>
            <w:hideMark/>
          </w:tcPr>
          <w:p w14:paraId="3D4C7CD2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462,641</w:t>
            </w:r>
          </w:p>
        </w:tc>
        <w:tc>
          <w:tcPr>
            <w:tcW w:w="2338" w:type="dxa"/>
            <w:noWrap/>
            <w:hideMark/>
          </w:tcPr>
          <w:p w14:paraId="3A5D4F4B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443.3</w:t>
            </w:r>
          </w:p>
        </w:tc>
        <w:tc>
          <w:tcPr>
            <w:tcW w:w="2338" w:type="dxa"/>
            <w:noWrap/>
            <w:hideMark/>
          </w:tcPr>
          <w:p w14:paraId="28B7C345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1,639,279</w:t>
            </w:r>
          </w:p>
        </w:tc>
      </w:tr>
      <w:tr w:rsidR="00420F24" w:rsidRPr="00420F24" w14:paraId="2D4BC03B" w14:textId="77777777" w:rsidTr="00420F24">
        <w:trPr>
          <w:trHeight w:val="295"/>
        </w:trPr>
        <w:tc>
          <w:tcPr>
            <w:tcW w:w="2337" w:type="dxa"/>
            <w:noWrap/>
            <w:hideMark/>
          </w:tcPr>
          <w:p w14:paraId="7FB6D218" w14:textId="77777777" w:rsidR="00420F24" w:rsidRPr="00420F24" w:rsidRDefault="00420F24" w:rsidP="00420F24">
            <w:pPr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Miami-Dade County, Florida</w:t>
            </w:r>
          </w:p>
        </w:tc>
        <w:tc>
          <w:tcPr>
            <w:tcW w:w="2337" w:type="dxa"/>
            <w:noWrap/>
            <w:hideMark/>
          </w:tcPr>
          <w:p w14:paraId="23A6DB95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352,013</w:t>
            </w:r>
          </w:p>
        </w:tc>
        <w:tc>
          <w:tcPr>
            <w:tcW w:w="2338" w:type="dxa"/>
            <w:noWrap/>
            <w:hideMark/>
          </w:tcPr>
          <w:p w14:paraId="53429627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1,013.8</w:t>
            </w:r>
          </w:p>
        </w:tc>
        <w:tc>
          <w:tcPr>
            <w:tcW w:w="2338" w:type="dxa"/>
            <w:noWrap/>
            <w:hideMark/>
          </w:tcPr>
          <w:p w14:paraId="3C874AC2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989,435</w:t>
            </w:r>
          </w:p>
        </w:tc>
      </w:tr>
      <w:tr w:rsidR="00420F24" w:rsidRPr="00420F24" w14:paraId="19024F96" w14:textId="77777777" w:rsidTr="00420F24">
        <w:trPr>
          <w:trHeight w:val="295"/>
        </w:trPr>
        <w:tc>
          <w:tcPr>
            <w:tcW w:w="2337" w:type="dxa"/>
            <w:noWrap/>
            <w:hideMark/>
          </w:tcPr>
          <w:p w14:paraId="4E1A6369" w14:textId="77777777" w:rsidR="00420F24" w:rsidRPr="00420F24" w:rsidRDefault="00420F24" w:rsidP="00420F24">
            <w:pPr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San Diego County, California</w:t>
            </w:r>
          </w:p>
        </w:tc>
        <w:tc>
          <w:tcPr>
            <w:tcW w:w="2337" w:type="dxa"/>
            <w:noWrap/>
            <w:hideMark/>
          </w:tcPr>
          <w:p w14:paraId="65649406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351,425</w:t>
            </w:r>
          </w:p>
        </w:tc>
        <w:tc>
          <w:tcPr>
            <w:tcW w:w="2338" w:type="dxa"/>
            <w:noWrap/>
            <w:hideMark/>
          </w:tcPr>
          <w:p w14:paraId="5E8FA50F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689.5</w:t>
            </w:r>
          </w:p>
        </w:tc>
        <w:tc>
          <w:tcPr>
            <w:tcW w:w="2338" w:type="dxa"/>
            <w:noWrap/>
            <w:hideMark/>
          </w:tcPr>
          <w:p w14:paraId="47BC2C75" w14:textId="77777777" w:rsidR="00420F24" w:rsidRPr="00420F24" w:rsidRDefault="00420F24" w:rsidP="00420F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0F24">
              <w:rPr>
                <w:rFonts w:ascii="Calibri" w:eastAsia="Times New Roman" w:hAnsi="Calibri" w:cs="Calibri"/>
                <w:color w:val="000000"/>
              </w:rPr>
              <w:t>1,164,786</w:t>
            </w:r>
          </w:p>
        </w:tc>
      </w:tr>
    </w:tbl>
    <w:p w14:paraId="4B9EBAB7" w14:textId="093D56E4" w:rsidR="005D17F5" w:rsidRDefault="005D17F5"/>
    <w:p w14:paraId="4FB64EFD" w14:textId="77777777" w:rsidR="00CB3CFB" w:rsidRPr="00CB3CFB" w:rsidRDefault="00CB3CFB" w:rsidP="00CB3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011F5F" w14:textId="77777777" w:rsidR="00CB3CFB" w:rsidRPr="00CB3CFB" w:rsidRDefault="00CB3CFB" w:rsidP="00CB3CF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B3CFB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Table 1: Top five counties with the highest elderly population, population density, and housing units. </w:t>
      </w:r>
    </w:p>
    <w:p w14:paraId="661D42B8" w14:textId="77777777" w:rsidR="00CB3CFB" w:rsidRPr="00CB3CFB" w:rsidRDefault="00CB3CFB" w:rsidP="00CB3CF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3B2765" w14:textId="77777777" w:rsidR="00CB3CFB" w:rsidRDefault="00CB3CFB"/>
    <w:p w14:paraId="2CBE1758" w14:textId="174EA524" w:rsidR="00D400B9" w:rsidRDefault="00D400B9"/>
    <w:p w14:paraId="3F220E20" w14:textId="04240FCC" w:rsidR="00FE485D" w:rsidRDefault="001A5B49">
      <w:r>
        <w:rPr>
          <w:noProof/>
        </w:rPr>
        <w:drawing>
          <wp:inline distT="0" distB="0" distL="0" distR="0" wp14:anchorId="767EC9AA" wp14:editId="08CC1DAA">
            <wp:extent cx="5674794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332" cy="36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1EB3" w14:textId="1C21A0D7" w:rsidR="00FE485D" w:rsidRDefault="00FE485D"/>
    <w:p w14:paraId="62D93C13" w14:textId="77777777" w:rsidR="001A5B49" w:rsidRPr="001A5B49" w:rsidRDefault="001A5B49" w:rsidP="001A5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E293A6" w14:textId="77777777" w:rsidR="001A5B49" w:rsidRPr="001A5B49" w:rsidRDefault="001A5B49" w:rsidP="001A5B49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A5B4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Figure 2: US Counties with highest population density (US Census 2010) </w:t>
      </w:r>
    </w:p>
    <w:p w14:paraId="09470C9E" w14:textId="77777777" w:rsidR="001A5B49" w:rsidRPr="001A5B49" w:rsidRDefault="001A5B49" w:rsidP="001A5B49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86DE004" w14:textId="77777777" w:rsidR="001A5B49" w:rsidRDefault="001A5B49"/>
    <w:p w14:paraId="70A12088" w14:textId="77777777" w:rsidR="00FE485D" w:rsidRDefault="00FE48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3EA5" w:rsidRPr="001D435D" w14:paraId="604DAFA4" w14:textId="77777777" w:rsidTr="00A50B63">
        <w:tc>
          <w:tcPr>
            <w:tcW w:w="2337" w:type="dxa"/>
            <w:shd w:val="clear" w:color="auto" w:fill="CC3300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55"/>
              <w:gridCol w:w="222"/>
              <w:gridCol w:w="222"/>
              <w:gridCol w:w="222"/>
            </w:tblGrid>
            <w:tr w:rsidR="00363EA5" w:rsidRPr="001D435D" w14:paraId="5049DC1B" w14:textId="77777777" w:rsidTr="006D1711">
              <w:tblPrEx>
                <w:tblCellMar>
                  <w:top w:w="0" w:type="dxa"/>
                  <w:bottom w:w="0" w:type="dxa"/>
                </w:tblCellMar>
              </w:tblPrEx>
              <w:trPr>
                <w:trHeight w:val="385"/>
              </w:trPr>
              <w:tc>
                <w:tcPr>
                  <w:tcW w:w="0" w:type="auto"/>
                </w:tcPr>
                <w:p w14:paraId="232ED64A" w14:textId="77777777" w:rsidR="00363EA5" w:rsidRPr="001D435D" w:rsidRDefault="00363EA5" w:rsidP="006D1711">
                  <w:pPr>
                    <w:pStyle w:val="Default"/>
                    <w:rPr>
                      <w:color w:val="FFFFFF" w:themeColor="background1"/>
                      <w:sz w:val="23"/>
                      <w:szCs w:val="23"/>
                    </w:rPr>
                  </w:pPr>
                  <w:r w:rsidRPr="001D435D">
                    <w:rPr>
                      <w:color w:val="FFFFFF" w:themeColor="background1"/>
                      <w:sz w:val="23"/>
                      <w:szCs w:val="23"/>
                    </w:rPr>
                    <w:t xml:space="preserve">County and State </w:t>
                  </w:r>
                </w:p>
              </w:tc>
              <w:tc>
                <w:tcPr>
                  <w:tcW w:w="0" w:type="auto"/>
                </w:tcPr>
                <w:p w14:paraId="56DF90C0" w14:textId="77777777" w:rsidR="00363EA5" w:rsidRPr="001D435D" w:rsidRDefault="00363EA5" w:rsidP="006D1711">
                  <w:pPr>
                    <w:pStyle w:val="Default"/>
                    <w:rPr>
                      <w:color w:val="FFFFFF" w:themeColor="background1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59C0F49C" w14:textId="77777777" w:rsidR="00363EA5" w:rsidRPr="001D435D" w:rsidRDefault="00363EA5" w:rsidP="006D1711">
                  <w:pPr>
                    <w:pStyle w:val="Default"/>
                    <w:rPr>
                      <w:color w:val="FFFFFF" w:themeColor="background1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14:paraId="5A74DCDC" w14:textId="77777777" w:rsidR="00363EA5" w:rsidRPr="001D435D" w:rsidRDefault="00363EA5" w:rsidP="006D1711">
                  <w:pPr>
                    <w:pStyle w:val="Default"/>
                    <w:rPr>
                      <w:color w:val="FFFFFF" w:themeColor="background1"/>
                      <w:sz w:val="23"/>
                      <w:szCs w:val="23"/>
                    </w:rPr>
                  </w:pPr>
                </w:p>
              </w:tc>
            </w:tr>
          </w:tbl>
          <w:p w14:paraId="3C8DDF23" w14:textId="77777777" w:rsidR="00363EA5" w:rsidRPr="001D435D" w:rsidRDefault="00363EA5" w:rsidP="006D1711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CC3300"/>
          </w:tcPr>
          <w:p w14:paraId="29B607B3" w14:textId="77777777" w:rsidR="00363EA5" w:rsidRPr="001D435D" w:rsidRDefault="00363EA5" w:rsidP="006D1711">
            <w:pPr>
              <w:rPr>
                <w:color w:val="FFFFFF" w:themeColor="background1"/>
              </w:rPr>
            </w:pPr>
            <w:r w:rsidRPr="001D435D">
              <w:rPr>
                <w:color w:val="FFFFFF" w:themeColor="background1"/>
                <w:sz w:val="23"/>
                <w:szCs w:val="23"/>
              </w:rPr>
              <w:t>Elderly Population Over Age 65</w:t>
            </w:r>
          </w:p>
        </w:tc>
        <w:tc>
          <w:tcPr>
            <w:tcW w:w="2338" w:type="dxa"/>
            <w:shd w:val="clear" w:color="auto" w:fill="CC3300"/>
          </w:tcPr>
          <w:p w14:paraId="47522A87" w14:textId="77777777" w:rsidR="00363EA5" w:rsidRPr="001D435D" w:rsidRDefault="00363EA5" w:rsidP="006D1711">
            <w:pPr>
              <w:rPr>
                <w:color w:val="FFFFFF" w:themeColor="background1"/>
              </w:rPr>
            </w:pPr>
            <w:r w:rsidRPr="001D435D">
              <w:rPr>
                <w:color w:val="FFFFFF" w:themeColor="background1"/>
                <w:sz w:val="23"/>
                <w:szCs w:val="23"/>
              </w:rPr>
              <w:t>Persons Per Square Mile</w:t>
            </w:r>
          </w:p>
        </w:tc>
        <w:tc>
          <w:tcPr>
            <w:tcW w:w="2338" w:type="dxa"/>
            <w:shd w:val="clear" w:color="auto" w:fill="CC3300"/>
          </w:tcPr>
          <w:p w14:paraId="36366857" w14:textId="77777777" w:rsidR="00363EA5" w:rsidRPr="001D435D" w:rsidRDefault="00363EA5" w:rsidP="006D1711">
            <w:pPr>
              <w:rPr>
                <w:color w:val="FFFFFF" w:themeColor="background1"/>
              </w:rPr>
            </w:pPr>
            <w:r w:rsidRPr="001D435D">
              <w:rPr>
                <w:color w:val="FFFFFF" w:themeColor="background1"/>
                <w:sz w:val="23"/>
                <w:szCs w:val="23"/>
              </w:rPr>
              <w:t>Number of Housing Units</w:t>
            </w:r>
          </w:p>
        </w:tc>
      </w:tr>
      <w:tr w:rsidR="00A50B63" w:rsidRPr="00A50B63" w14:paraId="02A8CF25" w14:textId="77777777" w:rsidTr="00A50B63">
        <w:trPr>
          <w:trHeight w:val="295"/>
        </w:trPr>
        <w:tc>
          <w:tcPr>
            <w:tcW w:w="2337" w:type="dxa"/>
            <w:noWrap/>
            <w:hideMark/>
          </w:tcPr>
          <w:p w14:paraId="5BC23BCD" w14:textId="77777777" w:rsidR="00A50B63" w:rsidRPr="00A50B63" w:rsidRDefault="00A50B63" w:rsidP="00A50B63">
            <w:pPr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New York County, New York</w:t>
            </w:r>
          </w:p>
        </w:tc>
        <w:tc>
          <w:tcPr>
            <w:tcW w:w="2337" w:type="dxa"/>
            <w:noWrap/>
            <w:hideMark/>
          </w:tcPr>
          <w:p w14:paraId="457D061B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48,765.0</w:t>
            </w:r>
          </w:p>
        </w:tc>
        <w:tc>
          <w:tcPr>
            <w:tcW w:w="2338" w:type="dxa"/>
            <w:noWrap/>
            <w:hideMark/>
          </w:tcPr>
          <w:p w14:paraId="68602375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214,153</w:t>
            </w:r>
          </w:p>
        </w:tc>
        <w:tc>
          <w:tcPr>
            <w:tcW w:w="2338" w:type="dxa"/>
            <w:noWrap/>
            <w:hideMark/>
          </w:tcPr>
          <w:p w14:paraId="4B3D1DB0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847,090</w:t>
            </w:r>
          </w:p>
        </w:tc>
      </w:tr>
      <w:tr w:rsidR="00A50B63" w:rsidRPr="00A50B63" w14:paraId="153E873C" w14:textId="77777777" w:rsidTr="00A50B63">
        <w:trPr>
          <w:trHeight w:val="295"/>
        </w:trPr>
        <w:tc>
          <w:tcPr>
            <w:tcW w:w="2337" w:type="dxa"/>
            <w:noWrap/>
            <w:hideMark/>
          </w:tcPr>
          <w:p w14:paraId="211F68A1" w14:textId="77777777" w:rsidR="00A50B63" w:rsidRPr="00A50B63" w:rsidRDefault="00A50B63" w:rsidP="00A50B63">
            <w:pPr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Kings County, New York</w:t>
            </w:r>
          </w:p>
        </w:tc>
        <w:tc>
          <w:tcPr>
            <w:tcW w:w="2337" w:type="dxa"/>
            <w:noWrap/>
            <w:hideMark/>
          </w:tcPr>
          <w:p w14:paraId="4CFDA615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26,416.7</w:t>
            </w:r>
          </w:p>
        </w:tc>
        <w:tc>
          <w:tcPr>
            <w:tcW w:w="2338" w:type="dxa"/>
            <w:noWrap/>
            <w:hideMark/>
          </w:tcPr>
          <w:p w14:paraId="39D949F2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287,633</w:t>
            </w:r>
          </w:p>
        </w:tc>
        <w:tc>
          <w:tcPr>
            <w:tcW w:w="2338" w:type="dxa"/>
            <w:noWrap/>
            <w:hideMark/>
          </w:tcPr>
          <w:p w14:paraId="5FF6AC58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1,000,293</w:t>
            </w:r>
          </w:p>
        </w:tc>
      </w:tr>
      <w:tr w:rsidR="00A50B63" w:rsidRPr="00A50B63" w14:paraId="53CAD0DD" w14:textId="77777777" w:rsidTr="00A50B63">
        <w:trPr>
          <w:trHeight w:val="295"/>
        </w:trPr>
        <w:tc>
          <w:tcPr>
            <w:tcW w:w="2337" w:type="dxa"/>
            <w:noWrap/>
            <w:hideMark/>
          </w:tcPr>
          <w:p w14:paraId="1AD6C56B" w14:textId="77777777" w:rsidR="00A50B63" w:rsidRPr="00A50B63" w:rsidRDefault="00A50B63" w:rsidP="00A50B63">
            <w:pPr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Bronx County, New York</w:t>
            </w:r>
          </w:p>
        </w:tc>
        <w:tc>
          <w:tcPr>
            <w:tcW w:w="2337" w:type="dxa"/>
            <w:noWrap/>
            <w:hideMark/>
          </w:tcPr>
          <w:p w14:paraId="3C604B53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24,186.9</w:t>
            </w:r>
          </w:p>
        </w:tc>
        <w:tc>
          <w:tcPr>
            <w:tcW w:w="2338" w:type="dxa"/>
            <w:noWrap/>
            <w:hideMark/>
          </w:tcPr>
          <w:p w14:paraId="5536847F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145,882</w:t>
            </w:r>
          </w:p>
        </w:tc>
        <w:tc>
          <w:tcPr>
            <w:tcW w:w="2338" w:type="dxa"/>
            <w:noWrap/>
            <w:hideMark/>
          </w:tcPr>
          <w:p w14:paraId="2785D1B5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511,896</w:t>
            </w:r>
          </w:p>
        </w:tc>
      </w:tr>
      <w:tr w:rsidR="00A50B63" w:rsidRPr="00A50B63" w14:paraId="410344EE" w14:textId="77777777" w:rsidTr="00A50B63">
        <w:trPr>
          <w:trHeight w:val="295"/>
        </w:trPr>
        <w:tc>
          <w:tcPr>
            <w:tcW w:w="2337" w:type="dxa"/>
            <w:noWrap/>
            <w:hideMark/>
          </w:tcPr>
          <w:p w14:paraId="26BB8C66" w14:textId="77777777" w:rsidR="00A50B63" w:rsidRPr="00A50B63" w:rsidRDefault="00A50B63" w:rsidP="00A50B63">
            <w:pPr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Queens County, New York</w:t>
            </w:r>
          </w:p>
        </w:tc>
        <w:tc>
          <w:tcPr>
            <w:tcW w:w="2337" w:type="dxa"/>
            <w:noWrap/>
            <w:hideMark/>
          </w:tcPr>
          <w:p w14:paraId="0405DDEE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15,036.7</w:t>
            </w:r>
          </w:p>
        </w:tc>
        <w:tc>
          <w:tcPr>
            <w:tcW w:w="2338" w:type="dxa"/>
            <w:noWrap/>
            <w:hideMark/>
          </w:tcPr>
          <w:p w14:paraId="701FA1C4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286,146</w:t>
            </w:r>
          </w:p>
        </w:tc>
        <w:tc>
          <w:tcPr>
            <w:tcW w:w="2338" w:type="dxa"/>
            <w:noWrap/>
            <w:hideMark/>
          </w:tcPr>
          <w:p w14:paraId="088DBFC9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835,127</w:t>
            </w:r>
          </w:p>
        </w:tc>
      </w:tr>
      <w:tr w:rsidR="00A50B63" w:rsidRPr="00A50B63" w14:paraId="4639964E" w14:textId="77777777" w:rsidTr="00A50B63">
        <w:trPr>
          <w:trHeight w:val="295"/>
        </w:trPr>
        <w:tc>
          <w:tcPr>
            <w:tcW w:w="2337" w:type="dxa"/>
            <w:noWrap/>
            <w:hideMark/>
          </w:tcPr>
          <w:p w14:paraId="3578402B" w14:textId="77777777" w:rsidR="00A50B63" w:rsidRPr="00A50B63" w:rsidRDefault="00A50B63" w:rsidP="00A50B63">
            <w:pPr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Philadelphia County, Pennsylvania</w:t>
            </w:r>
          </w:p>
        </w:tc>
        <w:tc>
          <w:tcPr>
            <w:tcW w:w="2337" w:type="dxa"/>
            <w:noWrap/>
            <w:hideMark/>
          </w:tcPr>
          <w:p w14:paraId="61428610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10,087.2</w:t>
            </w:r>
          </w:p>
        </w:tc>
        <w:tc>
          <w:tcPr>
            <w:tcW w:w="2338" w:type="dxa"/>
            <w:noWrap/>
            <w:hideMark/>
          </w:tcPr>
          <w:p w14:paraId="501E08DA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185,309</w:t>
            </w:r>
          </w:p>
        </w:tc>
        <w:tc>
          <w:tcPr>
            <w:tcW w:w="2338" w:type="dxa"/>
            <w:noWrap/>
            <w:hideMark/>
          </w:tcPr>
          <w:p w14:paraId="2B466265" w14:textId="77777777" w:rsidR="00A50B63" w:rsidRPr="00A50B63" w:rsidRDefault="00A50B63" w:rsidP="00A50B6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0B63">
              <w:rPr>
                <w:rFonts w:ascii="Calibri" w:eastAsia="Times New Roman" w:hAnsi="Calibri" w:cs="Calibri"/>
                <w:color w:val="000000"/>
              </w:rPr>
              <w:t>670,171</w:t>
            </w:r>
          </w:p>
        </w:tc>
      </w:tr>
    </w:tbl>
    <w:p w14:paraId="17F4C4AA" w14:textId="2DA93E48" w:rsidR="00744FBA" w:rsidRDefault="00744FBA"/>
    <w:p w14:paraId="35CB9DF6" w14:textId="77777777" w:rsidR="00435777" w:rsidRPr="00435777" w:rsidRDefault="00435777" w:rsidP="00435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3E86F" w14:textId="57230C93" w:rsidR="00435777" w:rsidRPr="00435777" w:rsidRDefault="00435777" w:rsidP="00435777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35777">
        <w:rPr>
          <w:rFonts w:ascii="Times New Roman" w:hAnsi="Times New Roman" w:cs="Times New Roman"/>
          <w:b/>
          <w:bCs/>
          <w:color w:val="000000"/>
          <w:sz w:val="23"/>
          <w:szCs w:val="23"/>
        </w:rPr>
        <w:t>Table 2: Top five counties with the highest population density, elderly population, and housing units.</w:t>
      </w:r>
    </w:p>
    <w:sectPr w:rsidR="00435777" w:rsidRPr="00435777" w:rsidSect="00E7459C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D99F" w14:textId="77777777" w:rsidR="00157CAB" w:rsidRDefault="00157CAB" w:rsidP="00157CAB">
      <w:pPr>
        <w:spacing w:after="0" w:line="240" w:lineRule="auto"/>
      </w:pPr>
      <w:r>
        <w:separator/>
      </w:r>
    </w:p>
  </w:endnote>
  <w:endnote w:type="continuationSeparator" w:id="0">
    <w:p w14:paraId="26146B3A" w14:textId="77777777" w:rsidR="00157CAB" w:rsidRDefault="00157CAB" w:rsidP="0015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F09DB" w14:textId="77777777" w:rsidR="00157CAB" w:rsidRDefault="00157CAB" w:rsidP="00157CAB">
      <w:pPr>
        <w:spacing w:after="0" w:line="240" w:lineRule="auto"/>
      </w:pPr>
      <w:r>
        <w:separator/>
      </w:r>
    </w:p>
  </w:footnote>
  <w:footnote w:type="continuationSeparator" w:id="0">
    <w:p w14:paraId="1009888C" w14:textId="77777777" w:rsidR="00157CAB" w:rsidRDefault="00157CAB" w:rsidP="0015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57CAB" w14:paraId="1D9F6779" w14:textId="77777777">
      <w:trPr>
        <w:trHeight w:val="720"/>
      </w:trPr>
      <w:tc>
        <w:tcPr>
          <w:tcW w:w="1667" w:type="pct"/>
        </w:tcPr>
        <w:p w14:paraId="7202192E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58CF9EA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C5C57C2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0C8D530" w14:textId="77777777" w:rsidR="00157CAB" w:rsidRDefault="00157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46686"/>
    <w:multiLevelType w:val="hybridMultilevel"/>
    <w:tmpl w:val="8BF4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867"/>
    <w:multiLevelType w:val="hybridMultilevel"/>
    <w:tmpl w:val="F07B2E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1A4917"/>
    <w:multiLevelType w:val="hybridMultilevel"/>
    <w:tmpl w:val="194612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C94958B"/>
    <w:multiLevelType w:val="hybridMultilevel"/>
    <w:tmpl w:val="2461DC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8581BA2"/>
    <w:multiLevelType w:val="hybridMultilevel"/>
    <w:tmpl w:val="8768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2E6DD"/>
    <w:multiLevelType w:val="hybridMultilevel"/>
    <w:tmpl w:val="E25C1D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DM1ASJDI1MjAyUdpeDU4uLM/DyQAsNaAHEsqYcsAAAA"/>
  </w:docVars>
  <w:rsids>
    <w:rsidRoot w:val="006D490F"/>
    <w:rsid w:val="000270E2"/>
    <w:rsid w:val="000416A2"/>
    <w:rsid w:val="00085E5D"/>
    <w:rsid w:val="000B6D2A"/>
    <w:rsid w:val="000D59A8"/>
    <w:rsid w:val="0010762D"/>
    <w:rsid w:val="00111B35"/>
    <w:rsid w:val="00157CAB"/>
    <w:rsid w:val="001863D7"/>
    <w:rsid w:val="001A5B49"/>
    <w:rsid w:val="001D435D"/>
    <w:rsid w:val="001E7179"/>
    <w:rsid w:val="00203D17"/>
    <w:rsid w:val="00242AB6"/>
    <w:rsid w:val="0028533C"/>
    <w:rsid w:val="002C7162"/>
    <w:rsid w:val="002D47CB"/>
    <w:rsid w:val="00316D17"/>
    <w:rsid w:val="00360790"/>
    <w:rsid w:val="00363EA5"/>
    <w:rsid w:val="003C544E"/>
    <w:rsid w:val="00403617"/>
    <w:rsid w:val="00420F24"/>
    <w:rsid w:val="004270C1"/>
    <w:rsid w:val="00435777"/>
    <w:rsid w:val="00450F35"/>
    <w:rsid w:val="004626CF"/>
    <w:rsid w:val="00494A26"/>
    <w:rsid w:val="004D5396"/>
    <w:rsid w:val="004F0CDA"/>
    <w:rsid w:val="004F3514"/>
    <w:rsid w:val="004F4C49"/>
    <w:rsid w:val="00511F2F"/>
    <w:rsid w:val="00532735"/>
    <w:rsid w:val="00536177"/>
    <w:rsid w:val="00554D25"/>
    <w:rsid w:val="005768E5"/>
    <w:rsid w:val="005A1ECE"/>
    <w:rsid w:val="005D17F5"/>
    <w:rsid w:val="00635DC2"/>
    <w:rsid w:val="0065375B"/>
    <w:rsid w:val="00663A10"/>
    <w:rsid w:val="00692354"/>
    <w:rsid w:val="006A03BB"/>
    <w:rsid w:val="006D490F"/>
    <w:rsid w:val="006E045C"/>
    <w:rsid w:val="006E7B79"/>
    <w:rsid w:val="00702170"/>
    <w:rsid w:val="00744FBA"/>
    <w:rsid w:val="0078372B"/>
    <w:rsid w:val="007A152C"/>
    <w:rsid w:val="007B781D"/>
    <w:rsid w:val="007E2626"/>
    <w:rsid w:val="0086473A"/>
    <w:rsid w:val="008A20D4"/>
    <w:rsid w:val="009124F7"/>
    <w:rsid w:val="009169D9"/>
    <w:rsid w:val="00962061"/>
    <w:rsid w:val="009C3A11"/>
    <w:rsid w:val="009E0015"/>
    <w:rsid w:val="00A3242C"/>
    <w:rsid w:val="00A50B63"/>
    <w:rsid w:val="00A50C02"/>
    <w:rsid w:val="00A56CAB"/>
    <w:rsid w:val="00AA4AF7"/>
    <w:rsid w:val="00AB29BA"/>
    <w:rsid w:val="00B11F3F"/>
    <w:rsid w:val="00BA2506"/>
    <w:rsid w:val="00C123F0"/>
    <w:rsid w:val="00C21D6B"/>
    <w:rsid w:val="00C82064"/>
    <w:rsid w:val="00C8296F"/>
    <w:rsid w:val="00C85F84"/>
    <w:rsid w:val="00C943B0"/>
    <w:rsid w:val="00CA04E0"/>
    <w:rsid w:val="00CA6A4E"/>
    <w:rsid w:val="00CB3CFB"/>
    <w:rsid w:val="00D11169"/>
    <w:rsid w:val="00D25C8F"/>
    <w:rsid w:val="00D400B9"/>
    <w:rsid w:val="00D657E1"/>
    <w:rsid w:val="00D84C82"/>
    <w:rsid w:val="00DA488A"/>
    <w:rsid w:val="00DA6444"/>
    <w:rsid w:val="00E7459C"/>
    <w:rsid w:val="00E90734"/>
    <w:rsid w:val="00EA0E45"/>
    <w:rsid w:val="00EE114A"/>
    <w:rsid w:val="00F255F7"/>
    <w:rsid w:val="00F311A4"/>
    <w:rsid w:val="00F40E20"/>
    <w:rsid w:val="00F47995"/>
    <w:rsid w:val="00F521CC"/>
    <w:rsid w:val="00FD384A"/>
    <w:rsid w:val="00FD5A6A"/>
    <w:rsid w:val="00FE485D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C77B"/>
  <w15:chartTrackingRefBased/>
  <w15:docId w15:val="{AF6DF0AB-65AD-420C-B996-C8DC62E1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25"/>
  </w:style>
  <w:style w:type="paragraph" w:styleId="Heading1">
    <w:name w:val="heading 1"/>
    <w:basedOn w:val="Normal"/>
    <w:next w:val="Normal"/>
    <w:link w:val="Heading1Char"/>
    <w:uiPriority w:val="9"/>
    <w:qFormat/>
    <w:rsid w:val="00554D2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4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2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2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2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2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2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2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2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2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D2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54D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2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D2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4D25"/>
    <w:rPr>
      <w:b/>
      <w:bCs/>
    </w:rPr>
  </w:style>
  <w:style w:type="character" w:styleId="Emphasis">
    <w:name w:val="Emphasis"/>
    <w:basedOn w:val="DefaultParagraphFont"/>
    <w:uiPriority w:val="20"/>
    <w:qFormat/>
    <w:rsid w:val="00554D25"/>
    <w:rPr>
      <w:i/>
      <w:iCs/>
    </w:rPr>
  </w:style>
  <w:style w:type="paragraph" w:styleId="NoSpacing">
    <w:name w:val="No Spacing"/>
    <w:link w:val="NoSpacingChar"/>
    <w:uiPriority w:val="1"/>
    <w:qFormat/>
    <w:rsid w:val="00554D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D2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2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4D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4D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4D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4D2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4D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D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7459C"/>
  </w:style>
  <w:style w:type="paragraph" w:styleId="Header">
    <w:name w:val="header"/>
    <w:basedOn w:val="Normal"/>
    <w:link w:val="HeaderChar"/>
    <w:uiPriority w:val="99"/>
    <w:unhideWhenUsed/>
    <w:rsid w:val="001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AB"/>
  </w:style>
  <w:style w:type="paragraph" w:styleId="Footer">
    <w:name w:val="footer"/>
    <w:basedOn w:val="Normal"/>
    <w:link w:val="FooterChar"/>
    <w:uiPriority w:val="99"/>
    <w:unhideWhenUsed/>
    <w:rsid w:val="001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AB"/>
  </w:style>
  <w:style w:type="paragraph" w:styleId="ListParagraph">
    <w:name w:val="List Paragraph"/>
    <w:basedOn w:val="Normal"/>
    <w:uiPriority w:val="34"/>
    <w:qFormat/>
    <w:rsid w:val="004F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Pittsburgh-pa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372</Words>
  <Characters>2127</Characters>
  <Application>Microsoft Office Word</Application>
  <DocSecurity>0</DocSecurity>
  <Lines>17</Lines>
  <Paragraphs>4</Paragraphs>
  <ScaleCrop>false</ScaleCrop>
  <Company>CMU-Heinz College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counties at risk for a pandemic</dc:title>
  <dc:subject>GIS – Assignment 1</dc:subject>
  <dc:creator>Chethan Singh M J</dc:creator>
  <cp:keywords/>
  <dc:description/>
  <cp:lastModifiedBy>Chethan Singh</cp:lastModifiedBy>
  <cp:revision>99</cp:revision>
  <dcterms:created xsi:type="dcterms:W3CDTF">2020-05-27T01:29:00Z</dcterms:created>
  <dcterms:modified xsi:type="dcterms:W3CDTF">2020-05-27T04:49:00Z</dcterms:modified>
</cp:coreProperties>
</file>