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C68" w:rsidRPr="009A2E95" w:rsidRDefault="009A2E95" w:rsidP="009A2E95">
      <w:pPr>
        <w:pStyle w:val="ListParagraph"/>
        <w:numPr>
          <w:ilvl w:val="0"/>
          <w:numId w:val="1"/>
        </w:numPr>
        <w:rPr>
          <w:rFonts w:ascii="Source Sans Pro" w:hAnsi="Source Sans Pro"/>
          <w:color w:val="333333"/>
          <w:sz w:val="27"/>
          <w:szCs w:val="27"/>
          <w:shd w:val="clear" w:color="auto" w:fill="FFFFFF"/>
        </w:rPr>
      </w:pPr>
      <w:r w:rsidRPr="009A2E95">
        <w:rPr>
          <w:rFonts w:ascii="Source Sans Pro" w:hAnsi="Source Sans Pro"/>
          <w:color w:val="FF0000"/>
          <w:sz w:val="27"/>
          <w:szCs w:val="27"/>
          <w:shd w:val="clear" w:color="auto" w:fill="FFFFFF"/>
        </w:rPr>
        <w:t xml:space="preserve">Sharpe Ratio </w:t>
      </w:r>
      <w:r w:rsidRPr="009A2E95">
        <w:rPr>
          <w:rFonts w:ascii="Source Sans Pro" w:hAnsi="Source Sans Pro"/>
          <w:color w:val="333333"/>
          <w:sz w:val="27"/>
          <w:szCs w:val="27"/>
          <w:shd w:val="clear" w:color="auto" w:fill="FFFFFF"/>
        </w:rPr>
        <w:t>shows the extra return that the fund has generated for every additional unit of risk taken. A fund having a higher Sharpe Ratio is better than the fund having a lower Sharpe Ratio. Similarly, Alpha tells you how much extra return has the fund manager generated as compared to the benchmark. The higher the alpha, the superior would be the fund.</w:t>
      </w:r>
    </w:p>
    <w:p w:rsidR="009A2E95" w:rsidRPr="009A2E95" w:rsidRDefault="009A2E95" w:rsidP="009A2E95">
      <w:pPr>
        <w:pStyle w:val="ListParagraph"/>
        <w:numPr>
          <w:ilvl w:val="0"/>
          <w:numId w:val="1"/>
        </w:numPr>
      </w:pPr>
      <w:r>
        <w:rPr>
          <w:rFonts w:ascii="Source Sans Pro" w:hAnsi="Source Sans Pro"/>
          <w:color w:val="333333"/>
          <w:sz w:val="27"/>
          <w:szCs w:val="27"/>
          <w:shd w:val="clear" w:color="auto" w:fill="FFFFFF"/>
        </w:rPr>
        <w:t>F</w:t>
      </w:r>
      <w:r w:rsidRPr="009A2E95">
        <w:rPr>
          <w:rFonts w:ascii="Source Sans Pro" w:hAnsi="Source Sans Pro"/>
          <w:color w:val="333333"/>
          <w:sz w:val="27"/>
          <w:szCs w:val="27"/>
          <w:shd w:val="clear" w:color="auto" w:fill="FFFFFF"/>
        </w:rPr>
        <w:t xml:space="preserve">und which has a history of say </w:t>
      </w:r>
      <w:r w:rsidRPr="009A2E95">
        <w:rPr>
          <w:rFonts w:ascii="Source Sans Pro" w:hAnsi="Source Sans Pro"/>
          <w:color w:val="FF0000"/>
          <w:sz w:val="27"/>
          <w:szCs w:val="27"/>
          <w:shd w:val="clear" w:color="auto" w:fill="FFFFFF"/>
        </w:rPr>
        <w:t xml:space="preserve">at least 5 years </w:t>
      </w:r>
      <w:r w:rsidRPr="009A2E95">
        <w:rPr>
          <w:rFonts w:ascii="Source Sans Pro" w:hAnsi="Source Sans Pro"/>
          <w:color w:val="333333"/>
          <w:sz w:val="27"/>
          <w:szCs w:val="27"/>
          <w:shd w:val="clear" w:color="auto" w:fill="FFFFFF"/>
        </w:rPr>
        <w:t>may seem eligible for shortlisting.</w:t>
      </w:r>
    </w:p>
    <w:p w:rsidR="009A2E95" w:rsidRPr="009A2E95" w:rsidRDefault="009A2E95" w:rsidP="009A2E95">
      <w:pPr>
        <w:pStyle w:val="ListParagraph"/>
        <w:numPr>
          <w:ilvl w:val="0"/>
          <w:numId w:val="1"/>
        </w:numPr>
      </w:pPr>
      <w:r w:rsidRPr="009A2E95">
        <w:rPr>
          <w:rFonts w:ascii="Source Sans Pro" w:hAnsi="Source Sans Pro"/>
          <w:color w:val="FF0000"/>
          <w:sz w:val="27"/>
          <w:szCs w:val="27"/>
          <w:shd w:val="clear" w:color="auto" w:fill="FFFFFF"/>
        </w:rPr>
        <w:t>SIP</w:t>
      </w:r>
      <w:r>
        <w:rPr>
          <w:rFonts w:ascii="Source Sans Pro" w:hAnsi="Source Sans Pro"/>
          <w:color w:val="333333"/>
          <w:sz w:val="27"/>
          <w:szCs w:val="27"/>
          <w:shd w:val="clear" w:color="auto" w:fill="FFFFFF"/>
        </w:rPr>
        <w:t xml:space="preserve"> allows investors to invest a fixed sum regularly. The frequency of SIP can be monthly, quarterly, bi-annually, or annually.</w:t>
      </w:r>
    </w:p>
    <w:p w:rsidR="009A2E95" w:rsidRPr="009A2E95" w:rsidRDefault="009A2E95" w:rsidP="009A2E95">
      <w:pPr>
        <w:pStyle w:val="ListParagraph"/>
        <w:numPr>
          <w:ilvl w:val="0"/>
          <w:numId w:val="1"/>
        </w:numPr>
      </w:pPr>
      <w:r w:rsidRPr="009A2E95">
        <w:rPr>
          <w:rFonts w:ascii="Source Sans Pro" w:hAnsi="Source Sans Pro"/>
          <w:color w:val="FF0000"/>
          <w:sz w:val="27"/>
          <w:szCs w:val="27"/>
          <w:shd w:val="clear" w:color="auto" w:fill="FFFFFF"/>
        </w:rPr>
        <w:t xml:space="preserve">Equity mutual funds </w:t>
      </w:r>
      <w:r>
        <w:rPr>
          <w:rFonts w:ascii="Source Sans Pro" w:hAnsi="Source Sans Pro"/>
          <w:color w:val="333333"/>
          <w:sz w:val="27"/>
          <w:szCs w:val="27"/>
          <w:shd w:val="clear" w:color="auto" w:fill="FFFFFF"/>
        </w:rPr>
        <w:t>invest majorly in equity-linked instruments such as stocks.</w:t>
      </w:r>
    </w:p>
    <w:p w:rsidR="009A2E95" w:rsidRPr="009A2E95" w:rsidRDefault="009A2E95" w:rsidP="009A2E95">
      <w:pPr>
        <w:pStyle w:val="ListParagraph"/>
        <w:numPr>
          <w:ilvl w:val="0"/>
          <w:numId w:val="1"/>
        </w:numPr>
      </w:pPr>
      <w:r w:rsidRPr="009A2E95">
        <w:rPr>
          <w:rFonts w:ascii="Source Sans Pro" w:hAnsi="Source Sans Pro"/>
          <w:color w:val="FF0000"/>
          <w:sz w:val="27"/>
          <w:szCs w:val="27"/>
          <w:shd w:val="clear" w:color="auto" w:fill="FFFFFF"/>
        </w:rPr>
        <w:t xml:space="preserve">Small-cap mutual funds </w:t>
      </w:r>
      <w:r>
        <w:rPr>
          <w:rFonts w:ascii="Source Sans Pro" w:hAnsi="Source Sans Pro"/>
          <w:color w:val="333333"/>
          <w:sz w:val="27"/>
          <w:szCs w:val="27"/>
          <w:shd w:val="clear" w:color="auto" w:fill="FFFFFF"/>
        </w:rPr>
        <w:t xml:space="preserve">are those that invest in shares of companies having smaller market </w:t>
      </w:r>
      <w:r>
        <w:rPr>
          <w:rFonts w:ascii="Source Sans Pro" w:hAnsi="Source Sans Pro"/>
          <w:color w:val="333333"/>
          <w:sz w:val="27"/>
          <w:szCs w:val="27"/>
          <w:shd w:val="clear" w:color="auto" w:fill="FFFFFF"/>
        </w:rPr>
        <w:t>capitalization</w:t>
      </w:r>
      <w:r>
        <w:rPr>
          <w:rFonts w:ascii="Source Sans Pro" w:hAnsi="Source Sans Pro"/>
          <w:color w:val="333333"/>
          <w:sz w:val="27"/>
          <w:szCs w:val="27"/>
          <w:shd w:val="clear" w:color="auto" w:fill="FFFFFF"/>
        </w:rPr>
        <w:t xml:space="preserve"> and listed under the 250th rank of the under the benchmark.</w:t>
      </w:r>
    </w:p>
    <w:p w:rsidR="009A2E95" w:rsidRPr="009A2E95" w:rsidRDefault="009A2E95" w:rsidP="009A2E95">
      <w:pPr>
        <w:pStyle w:val="ListParagraph"/>
        <w:numPr>
          <w:ilvl w:val="0"/>
          <w:numId w:val="1"/>
        </w:numPr>
      </w:pPr>
      <w:r w:rsidRPr="009A2E95">
        <w:rPr>
          <w:rFonts w:ascii="Source Sans Pro" w:hAnsi="Source Sans Pro"/>
          <w:color w:val="FF0000"/>
          <w:sz w:val="27"/>
          <w:szCs w:val="27"/>
          <w:shd w:val="clear" w:color="auto" w:fill="FFFFFF"/>
        </w:rPr>
        <w:t xml:space="preserve">Large-cap mutual funds </w:t>
      </w:r>
      <w:r>
        <w:rPr>
          <w:rFonts w:ascii="Source Sans Pro" w:hAnsi="Source Sans Pro"/>
          <w:color w:val="333333"/>
          <w:sz w:val="27"/>
          <w:szCs w:val="27"/>
          <w:shd w:val="clear" w:color="auto" w:fill="FFFFFF"/>
        </w:rPr>
        <w:t xml:space="preserve">invest in shares of companies with large market </w:t>
      </w:r>
      <w:r>
        <w:rPr>
          <w:rFonts w:ascii="Source Sans Pro" w:hAnsi="Source Sans Pro"/>
          <w:color w:val="333333"/>
          <w:sz w:val="27"/>
          <w:szCs w:val="27"/>
          <w:shd w:val="clear" w:color="auto" w:fill="FFFFFF"/>
        </w:rPr>
        <w:t>capitalization</w:t>
      </w:r>
      <w:bookmarkStart w:id="0" w:name="_GoBack"/>
      <w:bookmarkEnd w:id="0"/>
      <w:r>
        <w:rPr>
          <w:rFonts w:ascii="Source Sans Pro" w:hAnsi="Source Sans Pro"/>
          <w:color w:val="333333"/>
          <w:sz w:val="27"/>
          <w:szCs w:val="27"/>
          <w:shd w:val="clear" w:color="auto" w:fill="FFFFFF"/>
        </w:rPr>
        <w:t>. Large-cap companies are very little affected by the market fluctuations as these are well established.</w:t>
      </w:r>
    </w:p>
    <w:p w:rsidR="009A2E95" w:rsidRPr="009A2E95" w:rsidRDefault="009A2E95" w:rsidP="009A2E95">
      <w:pPr>
        <w:pStyle w:val="ListParagraph"/>
        <w:numPr>
          <w:ilvl w:val="0"/>
          <w:numId w:val="1"/>
        </w:numPr>
      </w:pPr>
      <w:r w:rsidRPr="009A2E95">
        <w:rPr>
          <w:rFonts w:ascii="Source Sans Pro" w:hAnsi="Source Sans Pro"/>
          <w:color w:val="FF0000"/>
          <w:sz w:val="27"/>
          <w:szCs w:val="27"/>
          <w:shd w:val="clear" w:color="auto" w:fill="FFFFFF"/>
        </w:rPr>
        <w:t xml:space="preserve">Mid-cap mutual funds </w:t>
      </w:r>
      <w:r>
        <w:rPr>
          <w:rFonts w:ascii="Source Sans Pro" w:hAnsi="Source Sans Pro"/>
          <w:color w:val="333333"/>
          <w:sz w:val="27"/>
          <w:szCs w:val="27"/>
          <w:shd w:val="clear" w:color="auto" w:fill="FFFFFF"/>
        </w:rPr>
        <w:t xml:space="preserve">invest in stocks of companies having a market </w:t>
      </w:r>
      <w:r>
        <w:rPr>
          <w:rFonts w:ascii="Source Sans Pro" w:hAnsi="Source Sans Pro"/>
          <w:color w:val="333333"/>
          <w:sz w:val="27"/>
          <w:szCs w:val="27"/>
          <w:shd w:val="clear" w:color="auto" w:fill="FFFFFF"/>
        </w:rPr>
        <w:t>capitalization</w:t>
      </w:r>
      <w:r>
        <w:rPr>
          <w:rFonts w:ascii="Source Sans Pro" w:hAnsi="Source Sans Pro"/>
          <w:color w:val="333333"/>
          <w:sz w:val="27"/>
          <w:szCs w:val="27"/>
          <w:shd w:val="clear" w:color="auto" w:fill="FFFFFF"/>
        </w:rPr>
        <w:t xml:space="preserve"> in the range of </w:t>
      </w:r>
      <w:proofErr w:type="spellStart"/>
      <w:r>
        <w:rPr>
          <w:rFonts w:ascii="Source Sans Pro" w:hAnsi="Source Sans Pro"/>
          <w:color w:val="333333"/>
          <w:sz w:val="27"/>
          <w:szCs w:val="27"/>
          <w:shd w:val="clear" w:color="auto" w:fill="FFFFFF"/>
        </w:rPr>
        <w:t>Rs</w:t>
      </w:r>
      <w:proofErr w:type="spellEnd"/>
      <w:r>
        <w:rPr>
          <w:rFonts w:ascii="Source Sans Pro" w:hAnsi="Source Sans Pro"/>
          <w:color w:val="333333"/>
          <w:sz w:val="27"/>
          <w:szCs w:val="27"/>
          <w:shd w:val="clear" w:color="auto" w:fill="FFFFFF"/>
        </w:rPr>
        <w:t xml:space="preserve"> 500 </w:t>
      </w:r>
      <w:proofErr w:type="spellStart"/>
      <w:r>
        <w:rPr>
          <w:rFonts w:ascii="Source Sans Pro" w:hAnsi="Source Sans Pro"/>
          <w:color w:val="333333"/>
          <w:sz w:val="27"/>
          <w:szCs w:val="27"/>
          <w:shd w:val="clear" w:color="auto" w:fill="FFFFFF"/>
        </w:rPr>
        <w:t>crore</w:t>
      </w:r>
      <w:proofErr w:type="spellEnd"/>
      <w:r>
        <w:rPr>
          <w:rFonts w:ascii="Source Sans Pro" w:hAnsi="Source Sans Pro"/>
          <w:color w:val="333333"/>
          <w:sz w:val="27"/>
          <w:szCs w:val="27"/>
          <w:shd w:val="clear" w:color="auto" w:fill="FFFFFF"/>
        </w:rPr>
        <w:t xml:space="preserve"> to </w:t>
      </w:r>
      <w:proofErr w:type="spellStart"/>
      <w:r>
        <w:rPr>
          <w:rFonts w:ascii="Source Sans Pro" w:hAnsi="Source Sans Pro"/>
          <w:color w:val="333333"/>
          <w:sz w:val="27"/>
          <w:szCs w:val="27"/>
          <w:shd w:val="clear" w:color="auto" w:fill="FFFFFF"/>
        </w:rPr>
        <w:t>Rs</w:t>
      </w:r>
      <w:proofErr w:type="spellEnd"/>
      <w:r>
        <w:rPr>
          <w:rFonts w:ascii="Source Sans Pro" w:hAnsi="Source Sans Pro"/>
          <w:color w:val="333333"/>
          <w:sz w:val="27"/>
          <w:szCs w:val="27"/>
          <w:shd w:val="clear" w:color="auto" w:fill="FFFFFF"/>
        </w:rPr>
        <w:t xml:space="preserve"> 10,000 </w:t>
      </w:r>
      <w:proofErr w:type="spellStart"/>
      <w:r>
        <w:rPr>
          <w:rFonts w:ascii="Source Sans Pro" w:hAnsi="Source Sans Pro"/>
          <w:color w:val="333333"/>
          <w:sz w:val="27"/>
          <w:szCs w:val="27"/>
          <w:shd w:val="clear" w:color="auto" w:fill="FFFFFF"/>
        </w:rPr>
        <w:t>crore</w:t>
      </w:r>
      <w:proofErr w:type="spellEnd"/>
      <w:r>
        <w:rPr>
          <w:rFonts w:ascii="Source Sans Pro" w:hAnsi="Source Sans Pro"/>
          <w:color w:val="333333"/>
          <w:sz w:val="27"/>
          <w:szCs w:val="27"/>
          <w:shd w:val="clear" w:color="auto" w:fill="FFFFFF"/>
        </w:rPr>
        <w:t>.</w:t>
      </w:r>
    </w:p>
    <w:p w:rsidR="009A2E95" w:rsidRPr="009A2E95" w:rsidRDefault="009A2E95" w:rsidP="009A2E95">
      <w:pPr>
        <w:pStyle w:val="ListParagraph"/>
        <w:numPr>
          <w:ilvl w:val="0"/>
          <w:numId w:val="1"/>
        </w:numPr>
      </w:pPr>
      <w:r w:rsidRPr="009A2E95">
        <w:rPr>
          <w:rFonts w:ascii="Source Sans Pro" w:hAnsi="Source Sans Pro"/>
          <w:color w:val="FF0000"/>
          <w:sz w:val="27"/>
          <w:szCs w:val="27"/>
          <w:shd w:val="clear" w:color="auto" w:fill="FFFFFF"/>
        </w:rPr>
        <w:t>Multi-cap funds</w:t>
      </w:r>
      <w:r>
        <w:rPr>
          <w:rFonts w:ascii="Source Sans Pro" w:hAnsi="Source Sans Pro"/>
          <w:color w:val="333333"/>
          <w:sz w:val="27"/>
          <w:szCs w:val="27"/>
          <w:shd w:val="clear" w:color="auto" w:fill="FFFFFF"/>
        </w:rPr>
        <w:t xml:space="preserve"> are diversified mutual funds. They invest in stocks of small, mid, and large-cap market </w:t>
      </w:r>
      <w:r>
        <w:rPr>
          <w:rFonts w:ascii="Source Sans Pro" w:hAnsi="Source Sans Pro"/>
          <w:color w:val="333333"/>
          <w:sz w:val="27"/>
          <w:szCs w:val="27"/>
          <w:shd w:val="clear" w:color="auto" w:fill="FFFFFF"/>
        </w:rPr>
        <w:t>capitalization</w:t>
      </w:r>
      <w:r>
        <w:rPr>
          <w:rFonts w:ascii="Source Sans Pro" w:hAnsi="Source Sans Pro"/>
          <w:color w:val="333333"/>
          <w:sz w:val="27"/>
          <w:szCs w:val="27"/>
          <w:shd w:val="clear" w:color="auto" w:fill="FFFFFF"/>
        </w:rPr>
        <w:t>.</w:t>
      </w:r>
    </w:p>
    <w:p w:rsidR="009A2E95" w:rsidRPr="009A2E95" w:rsidRDefault="009A2E95" w:rsidP="009A2E95">
      <w:pPr>
        <w:pStyle w:val="ListParagraph"/>
        <w:numPr>
          <w:ilvl w:val="0"/>
          <w:numId w:val="1"/>
        </w:numPr>
      </w:pPr>
      <w:r w:rsidRPr="009A2E95">
        <w:rPr>
          <w:rFonts w:ascii="Source Sans Pro" w:hAnsi="Source Sans Pro"/>
          <w:color w:val="FF0000"/>
          <w:sz w:val="27"/>
          <w:szCs w:val="27"/>
          <w:shd w:val="clear" w:color="auto" w:fill="FFFFFF"/>
        </w:rPr>
        <w:t>Tax-saving funds or ELSS</w:t>
      </w:r>
      <w:r>
        <w:rPr>
          <w:rFonts w:ascii="Source Sans Pro" w:hAnsi="Source Sans Pro"/>
          <w:color w:val="333333"/>
          <w:sz w:val="27"/>
          <w:szCs w:val="27"/>
          <w:shd w:val="clear" w:color="auto" w:fill="FFFFFF"/>
        </w:rPr>
        <w:t xml:space="preserve">, are equity-oriented mutual funds allowing investors to save taxes up to </w:t>
      </w:r>
      <w:proofErr w:type="spellStart"/>
      <w:r>
        <w:rPr>
          <w:rFonts w:ascii="Source Sans Pro" w:hAnsi="Source Sans Pro"/>
          <w:color w:val="333333"/>
          <w:sz w:val="27"/>
          <w:szCs w:val="27"/>
          <w:shd w:val="clear" w:color="auto" w:fill="FFFFFF"/>
        </w:rPr>
        <w:t>Rs</w:t>
      </w:r>
      <w:proofErr w:type="spellEnd"/>
      <w:r>
        <w:rPr>
          <w:rFonts w:ascii="Source Sans Pro" w:hAnsi="Source Sans Pro"/>
          <w:color w:val="333333"/>
          <w:sz w:val="27"/>
          <w:szCs w:val="27"/>
          <w:shd w:val="clear" w:color="auto" w:fill="FFFFFF"/>
        </w:rPr>
        <w:t xml:space="preserve"> 46,800 a year under Section 80C of the Income Tax Act, 1961.</w:t>
      </w:r>
    </w:p>
    <w:p w:rsidR="009A2E95" w:rsidRPr="009A2E95" w:rsidRDefault="009A2E95" w:rsidP="009A2E95">
      <w:pPr>
        <w:pStyle w:val="ListParagraph"/>
        <w:numPr>
          <w:ilvl w:val="0"/>
          <w:numId w:val="1"/>
        </w:numPr>
      </w:pPr>
      <w:r w:rsidRPr="009A2E95">
        <w:rPr>
          <w:rFonts w:ascii="Source Sans Pro" w:hAnsi="Source Sans Pro"/>
          <w:color w:val="FF0000"/>
          <w:sz w:val="27"/>
          <w:szCs w:val="27"/>
          <w:shd w:val="clear" w:color="auto" w:fill="FFFFFF"/>
        </w:rPr>
        <w:t>L</w:t>
      </w:r>
      <w:r w:rsidRPr="009A2E95">
        <w:rPr>
          <w:rFonts w:ascii="Source Sans Pro" w:hAnsi="Source Sans Pro"/>
          <w:color w:val="FF0000"/>
          <w:sz w:val="27"/>
          <w:szCs w:val="27"/>
          <w:shd w:val="clear" w:color="auto" w:fill="FFFFFF"/>
        </w:rPr>
        <w:t xml:space="preserve">iquid funds </w:t>
      </w:r>
      <w:r>
        <w:rPr>
          <w:rFonts w:ascii="Source Sans Pro" w:hAnsi="Source Sans Pro"/>
          <w:color w:val="333333"/>
          <w:sz w:val="27"/>
          <w:szCs w:val="27"/>
          <w:shd w:val="clear" w:color="auto" w:fill="FFFFFF"/>
        </w:rPr>
        <w:t>are an ideal option to invest your savings parked in a regular savings bank account. Liquid funds are mutual funds that invest in short-term debt instruments such as treasury bills that generate fixed income.</w:t>
      </w:r>
    </w:p>
    <w:p w:rsidR="009A2E95" w:rsidRPr="009A2E95" w:rsidRDefault="009A2E95" w:rsidP="009A2E95">
      <w:pPr>
        <w:pStyle w:val="ListParagraph"/>
        <w:numPr>
          <w:ilvl w:val="0"/>
          <w:numId w:val="1"/>
        </w:numPr>
      </w:pPr>
      <w:r>
        <w:rPr>
          <w:rFonts w:ascii="Source Sans Pro" w:hAnsi="Source Sans Pro"/>
          <w:color w:val="333333"/>
          <w:sz w:val="27"/>
          <w:szCs w:val="27"/>
          <w:shd w:val="clear" w:color="auto" w:fill="FFFFFF"/>
        </w:rPr>
        <w:t xml:space="preserve">The maturity period of the </w:t>
      </w:r>
      <w:r>
        <w:rPr>
          <w:rFonts w:ascii="Source Sans Pro" w:hAnsi="Source Sans Pro"/>
          <w:color w:val="FF0000"/>
          <w:sz w:val="27"/>
          <w:szCs w:val="27"/>
          <w:shd w:val="clear" w:color="auto" w:fill="FFFFFF"/>
        </w:rPr>
        <w:t>S</w:t>
      </w:r>
      <w:r w:rsidRPr="009A2E95">
        <w:rPr>
          <w:rFonts w:ascii="Source Sans Pro" w:hAnsi="Source Sans Pro"/>
          <w:color w:val="FF0000"/>
          <w:sz w:val="27"/>
          <w:szCs w:val="27"/>
          <w:shd w:val="clear" w:color="auto" w:fill="FFFFFF"/>
        </w:rPr>
        <w:t xml:space="preserve">hort-term mutual funds </w:t>
      </w:r>
      <w:r>
        <w:rPr>
          <w:rFonts w:ascii="Source Sans Pro" w:hAnsi="Source Sans Pro"/>
          <w:color w:val="333333"/>
          <w:sz w:val="27"/>
          <w:szCs w:val="27"/>
          <w:shd w:val="clear" w:color="auto" w:fill="FFFFFF"/>
        </w:rPr>
        <w:t>vary between 15 days and 91 days. Historically, these funds have offered returns of up to 9%.</w:t>
      </w:r>
    </w:p>
    <w:p w:rsidR="009A2E95" w:rsidRDefault="009A2E95" w:rsidP="009A2E95">
      <w:pPr>
        <w:pStyle w:val="ListParagraph"/>
        <w:numPr>
          <w:ilvl w:val="0"/>
          <w:numId w:val="1"/>
        </w:numPr>
      </w:pPr>
      <w:r w:rsidRPr="009A2E95">
        <w:rPr>
          <w:rFonts w:ascii="Source Sans Pro" w:hAnsi="Source Sans Pro"/>
          <w:color w:val="FF0000"/>
          <w:sz w:val="27"/>
          <w:szCs w:val="27"/>
          <w:shd w:val="clear" w:color="auto" w:fill="FFFFFF"/>
        </w:rPr>
        <w:t xml:space="preserve">The balanced/hybrid mutual funds </w:t>
      </w:r>
      <w:r>
        <w:rPr>
          <w:rFonts w:ascii="Source Sans Pro" w:hAnsi="Source Sans Pro"/>
          <w:color w:val="333333"/>
          <w:sz w:val="27"/>
          <w:szCs w:val="27"/>
          <w:shd w:val="clear" w:color="auto" w:fill="FFFFFF"/>
        </w:rPr>
        <w:t>invest in both equity and debt instruments. Investing is balanced.</w:t>
      </w:r>
    </w:p>
    <w:sectPr w:rsidR="009A2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2DE7"/>
    <w:multiLevelType w:val="hybridMultilevel"/>
    <w:tmpl w:val="66289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E95"/>
    <w:rsid w:val="00464C68"/>
    <w:rsid w:val="009A2E95"/>
    <w:rsid w:val="009C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E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2020-03-03T03:52:00Z</dcterms:created>
  <dcterms:modified xsi:type="dcterms:W3CDTF">2020-03-03T04:48:00Z</dcterms:modified>
</cp:coreProperties>
</file>