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jc w:val="center"/>
      </w:pPr>
      <w:r>
        <w:rPr>
          <w:b/>
          <w:color w:val="0D47A1"/>
          <w:sz w:val="48"/>
        </w:rPr>
        <w:t>Research Paper Summaries — Extended Edition</w:t>
      </w:r>
    </w:p>
    <w:p>
      <w:pPr>
        <w:spacing w:before="120" w:after="0"/>
        <w:jc w:val="center"/>
      </w:pPr>
      <w:r>
        <w:rPr>
          <w:i/>
          <w:color w:val="006E6E"/>
          <w:sz w:val="28"/>
        </w:rPr>
        <w:t>14 Papers for KAIROS Capstone Literature Review</w:t>
      </w:r>
    </w:p>
    <w:p/>
    <w:p>
      <w:pPr>
        <w:spacing w:before="80" w:after="80"/>
        <w:jc w:val="center"/>
      </w:pPr>
      <w:r>
        <w:rPr>
          <w:b/>
          <w:color w:val="1A1A2E"/>
          <w:sz w:val="22"/>
        </w:rPr>
        <w:t xml:space="preserve">Project:  </w:t>
      </w:r>
      <w:r>
        <w:rPr>
          <w:color w:val="006E6E"/>
          <w:sz w:val="22"/>
        </w:rPr>
        <w:t>KAIROS — Autonomous Causal Business Intelligence Agent</w:t>
      </w:r>
    </w:p>
    <w:p>
      <w:pPr>
        <w:spacing w:before="80" w:after="80"/>
        <w:jc w:val="center"/>
      </w:pPr>
      <w:r>
        <w:rPr>
          <w:b/>
          <w:color w:val="1A1A2E"/>
          <w:sz w:val="22"/>
        </w:rPr>
        <w:t xml:space="preserve">Team:  </w:t>
      </w:r>
      <w:r>
        <w:rPr>
          <w:color w:val="006E6E"/>
          <w:sz w:val="22"/>
        </w:rPr>
        <w:t>Palla Chetana Reddy | Varshini Yadav Nasaram | Obulagari Nandini</w:t>
      </w:r>
    </w:p>
    <w:p>
      <w:pPr>
        <w:spacing w:before="80" w:after="80"/>
        <w:jc w:val="center"/>
      </w:pPr>
      <w:r>
        <w:rPr>
          <w:b/>
          <w:color w:val="1A1A2E"/>
          <w:sz w:val="22"/>
        </w:rPr>
        <w:t xml:space="preserve">Mentor:  </w:t>
      </w:r>
      <w:r>
        <w:rPr>
          <w:color w:val="006E6E"/>
          <w:sz w:val="22"/>
        </w:rPr>
        <w:t>Dr. K RajKumar | Woxsen University</w:t>
      </w:r>
    </w:p>
    <w:p>
      <w:pPr>
        <w:spacing w:before="80" w:after="80"/>
        <w:jc w:val="center"/>
      </w:pPr>
      <w:r>
        <w:rPr>
          <w:b/>
          <w:color w:val="1A1A2E"/>
          <w:sz w:val="22"/>
        </w:rPr>
        <w:t xml:space="preserve">Date:  </w:t>
      </w:r>
      <w:r>
        <w:rPr>
          <w:color w:val="006E6E"/>
          <w:sz w:val="22"/>
        </w:rPr>
        <w:t>August 2026</w:t>
      </w:r>
    </w:p>
    <w:p>
      <w:r>
        <w:br w:type="page"/>
      </w:r>
    </w:p>
    <w:p>
      <w:pPr>
        <w:spacing w:before="320" w:after="80"/>
        <w:pBdr>
          <w:bottom w:val="single" w:sz="8" w:space="1" w:color="0D47A1"/>
        </w:pBdr>
      </w:pPr>
      <w:r>
        <w:rPr>
          <w:b/>
          <w:color w:val="0D47A1"/>
          <w:sz w:val="32"/>
        </w:rPr>
        <w:t>PAPER 1</w:t>
      </w:r>
    </w:p>
    <w:p>
      <w:pPr>
        <w:spacing w:before="80" w:after="120"/>
        <w:jc w:val="center"/>
      </w:pPr>
      <w:r>
        <w:rPr>
          <w:b/>
          <w:color w:val="0D47A1"/>
          <w:sz w:val="26"/>
        </w:rPr>
        <w:t>ReAct: Synergizing Reasoning and Acting in Language Models</w:t>
      </w:r>
    </w:p>
    <w:p>
      <w:pPr>
        <w:spacing w:before="200" w:after="60"/>
      </w:pPr>
      <w:r>
        <w:rPr>
          <w:b/>
          <w:color w:val="006E6E"/>
          <w:sz w:val="24"/>
        </w:rPr>
        <w:t>Paper Information</w:t>
      </w:r>
    </w:p>
    <w:tbl>
      <w:tblPr>
        <w:tblStyle w:val="TableGrid"/>
        <w:tblW w:type="auto" w:w="0"/>
        <w:jc w:val="left"/>
        <w:tblLook w:firstColumn="1" w:firstRow="1" w:lastColumn="0" w:lastRow="0" w:noHBand="0" w:noVBand="1" w:val="04A0"/>
      </w:tblPr>
      <w:tblGrid>
        <w:gridCol w:w="4514"/>
        <w:gridCol w:w="4514"/>
      </w:tblGrid>
      <w:tr>
        <w:tc>
          <w:tcPr>
            <w:tcW w:type="dxa" w:w="2448"/>
            <w:shd w:val="clear" w:color="auto" w:fill="0D47A1"/>
          </w:tcPr>
          <w:p>
            <w:r>
              <w:rPr>
                <w:b/>
                <w:color w:val="FFFFFF"/>
                <w:sz w:val="20"/>
              </w:rPr>
              <w:t>Full Title</w:t>
            </w:r>
          </w:p>
        </w:tc>
        <w:tc>
          <w:tcPr>
            <w:tcW w:type="dxa" w:w="7056"/>
            <w:shd w:val="clear" w:color="auto" w:fill="EEF4FF"/>
          </w:tcPr>
          <w:p>
            <w:r>
              <w:rPr>
                <w:color w:val="1A1A2E"/>
                <w:sz w:val="20"/>
              </w:rPr>
              <w:t>ReAct: Synergizing Reasoning and Acting in Language Models</w:t>
            </w:r>
          </w:p>
        </w:tc>
      </w:tr>
      <w:tr>
        <w:tc>
          <w:tcPr>
            <w:tcW w:type="dxa" w:w="2448"/>
            <w:shd w:val="clear" w:color="auto" w:fill="0D47A1"/>
          </w:tcPr>
          <w:p>
            <w:r>
              <w:rPr>
                <w:b/>
                <w:color w:val="FFFFFF"/>
                <w:sz w:val="20"/>
              </w:rPr>
              <w:t>Authors</w:t>
            </w:r>
          </w:p>
        </w:tc>
        <w:tc>
          <w:tcPr>
            <w:tcW w:type="dxa" w:w="7056"/>
            <w:shd w:val="clear" w:color="auto" w:fill="FFFFFF"/>
          </w:tcPr>
          <w:p>
            <w:r>
              <w:rPr>
                <w:color w:val="1A1A2E"/>
                <w:sz w:val="20"/>
              </w:rPr>
              <w:t>Shunyu Yao, Jeffrey Zhao, Dian Yu, Nan Du, Izhak Shafran, Karthik Narasimhan, Yuan Cao</w:t>
            </w:r>
          </w:p>
        </w:tc>
      </w:tr>
      <w:tr>
        <w:tc>
          <w:tcPr>
            <w:tcW w:type="dxa" w:w="2448"/>
            <w:shd w:val="clear" w:color="auto" w:fill="0D47A1"/>
          </w:tcPr>
          <w:p>
            <w:r>
              <w:rPr>
                <w:b/>
                <w:color w:val="FFFFFF"/>
                <w:sz w:val="20"/>
              </w:rPr>
              <w:t>Affiliation</w:t>
            </w:r>
          </w:p>
        </w:tc>
        <w:tc>
          <w:tcPr>
            <w:tcW w:type="dxa" w:w="7056"/>
            <w:shd w:val="clear" w:color="auto" w:fill="EEF4FF"/>
          </w:tcPr>
          <w:p>
            <w:r>
              <w:rPr>
                <w:color w:val="1A1A2E"/>
                <w:sz w:val="20"/>
              </w:rPr>
              <w:t>Princeton University + Google Research</w:t>
            </w:r>
          </w:p>
        </w:tc>
      </w:tr>
      <w:tr>
        <w:tc>
          <w:tcPr>
            <w:tcW w:type="dxa" w:w="2448"/>
            <w:shd w:val="clear" w:color="auto" w:fill="0D47A1"/>
          </w:tcPr>
          <w:p>
            <w:r>
              <w:rPr>
                <w:b/>
                <w:color w:val="FFFFFF"/>
                <w:sz w:val="20"/>
              </w:rPr>
              <w:t>Published</w:t>
            </w:r>
          </w:p>
        </w:tc>
        <w:tc>
          <w:tcPr>
            <w:tcW w:type="dxa" w:w="7056"/>
            <w:shd w:val="clear" w:color="auto" w:fill="FFFFFF"/>
          </w:tcPr>
          <w:p>
            <w:r>
              <w:rPr>
                <w:color w:val="1A1A2E"/>
                <w:sz w:val="20"/>
              </w:rPr>
              <w:t>ICLR 2023 (International Conference on Learning Representations)</w:t>
            </w:r>
          </w:p>
        </w:tc>
      </w:tr>
      <w:tr>
        <w:tc>
          <w:tcPr>
            <w:tcW w:type="dxa" w:w="2448"/>
            <w:shd w:val="clear" w:color="auto" w:fill="0D47A1"/>
          </w:tcPr>
          <w:p>
            <w:r>
              <w:rPr>
                <w:b/>
                <w:color w:val="FFFFFF"/>
                <w:sz w:val="20"/>
              </w:rPr>
              <w:t>arXiv</w:t>
            </w:r>
          </w:p>
        </w:tc>
        <w:tc>
          <w:tcPr>
            <w:tcW w:type="dxa" w:w="7056"/>
            <w:shd w:val="clear" w:color="auto" w:fill="EEF4FF"/>
          </w:tcPr>
          <w:p>
            <w:r>
              <w:rPr>
                <w:color w:val="1A1A2E"/>
                <w:sz w:val="20"/>
              </w:rPr>
              <w:t>arXiv:2210.03629</w:t>
            </w:r>
          </w:p>
        </w:tc>
      </w:tr>
      <w:tr>
        <w:tc>
          <w:tcPr>
            <w:tcW w:type="dxa" w:w="2448"/>
            <w:shd w:val="clear" w:color="auto" w:fill="0D47A1"/>
          </w:tcPr>
          <w:p>
            <w:r>
              <w:rPr>
                <w:b/>
                <w:color w:val="FFFFFF"/>
                <w:sz w:val="20"/>
              </w:rPr>
              <w:t>Year</w:t>
            </w:r>
          </w:p>
        </w:tc>
        <w:tc>
          <w:tcPr>
            <w:tcW w:type="dxa" w:w="7056"/>
            <w:shd w:val="clear" w:color="auto" w:fill="FFFFFF"/>
          </w:tcPr>
          <w:p>
            <w:r>
              <w:rPr>
                <w:color w:val="1A1A2E"/>
                <w:sz w:val="20"/>
              </w:rPr>
              <w:t>2023</w:t>
            </w:r>
          </w:p>
        </w:tc>
      </w:tr>
      <w:tr>
        <w:tc>
          <w:tcPr>
            <w:tcW w:type="dxa" w:w="2448"/>
            <w:shd w:val="clear" w:color="auto" w:fill="0D47A1"/>
          </w:tcPr>
          <w:p>
            <w:r>
              <w:rPr>
                <w:b/>
                <w:color w:val="FFFFFF"/>
                <w:sz w:val="20"/>
              </w:rPr>
              <w:t>Domain</w:t>
            </w:r>
          </w:p>
        </w:tc>
        <w:tc>
          <w:tcPr>
            <w:tcW w:type="dxa" w:w="7056"/>
            <w:shd w:val="clear" w:color="auto" w:fill="EEF4FF"/>
          </w:tcPr>
          <w:p>
            <w:r>
              <w:rPr>
                <w:color w:val="1A1A2E"/>
                <w:sz w:val="20"/>
              </w:rPr>
              <w:t>AI — LLM Agents — Reasoning and Tool Use</w:t>
            </w:r>
          </w:p>
        </w:tc>
      </w:tr>
    </w:tbl>
    <w:p/>
    <w:p>
      <w:pPr>
        <w:spacing w:before="200" w:after="60"/>
      </w:pPr>
      <w:r>
        <w:rPr>
          <w:b/>
          <w:color w:val="006E6E"/>
          <w:sz w:val="24"/>
        </w:rPr>
        <w:t>Detailed Summary</w:t>
      </w:r>
    </w:p>
    <w:p>
      <w:pPr>
        <w:spacing w:before="0" w:after="100"/>
        <w:jc w:val="both"/>
      </w:pPr>
      <w:r>
        <w:rPr>
          <w:color w:val="1A1A2E"/>
          <w:sz w:val="22"/>
        </w:rPr>
        <w:t>Before ReAct, LLMs were studied for two separate capabilities: reasoning (chain-of-thought prompting) and acting (calling external tools). Neither worked well alone — reasoning from memory hallucinated facts, and acting without reasoning produced brittle, inflexible behaviour. ReAct proposes combining both in an interleaved loop.</w:t>
      </w:r>
    </w:p>
    <w:p>
      <w:pPr>
        <w:spacing w:before="0" w:after="100"/>
        <w:jc w:val="both"/>
      </w:pPr>
      <w:r>
        <w:rPr>
          <w:color w:val="1A1A2E"/>
          <w:sz w:val="22"/>
        </w:rPr>
        <w:t>The key insight is that reasoning and acting are mutually reinforcing. Reasoning helps the model track what it has found, update its plan, and handle unexpected observations. Acting allows the model to access external information it cannot recall from memory — search engines, APIs, databases. Together they enable multi-step problem solving that is both accurate and grounded.</w:t>
      </w:r>
    </w:p>
    <w:p>
      <w:pPr>
        <w:spacing w:before="0" w:after="100"/>
        <w:jc w:val="both"/>
      </w:pPr>
      <w:r>
        <w:rPr>
          <w:color w:val="1A1A2E"/>
          <w:sz w:val="22"/>
        </w:rPr>
        <w:t>The ReAct format alternates three types of output: Thought (the model reasons about the current situation), Action (the model calls a tool), and Observation (the tool returns a result). This cycle repeats until the task is complete. The model learns to induce task-relevant sub-goals, track long-term objectives, and handle failures by reformulating its approach.</w:t>
      </w:r>
    </w:p>
    <w:p>
      <w:pPr>
        <w:spacing w:before="200" w:after="60"/>
      </w:pPr>
      <w:r>
        <w:rPr>
          <w:b/>
          <w:color w:val="006E6E"/>
          <w:sz w:val="24"/>
        </w:rPr>
        <w:t>Key Technical Contributions</w:t>
      </w:r>
    </w:p>
    <w:p>
      <w:pPr>
        <w:spacing w:before="140" w:after="40"/>
      </w:pPr>
      <w:r>
        <w:rPr>
          <w:b/>
          <w:color w:val="1A1A2E"/>
          <w:sz w:val="22"/>
        </w:rPr>
        <w:t>Thought-Action-Observation Loop</w:t>
      </w:r>
    </w:p>
    <w:p>
      <w:pPr>
        <w:spacing w:before="0" w:after="100"/>
        <w:jc w:val="both"/>
      </w:pPr>
      <w:r>
        <w:rPr>
          <w:color w:val="1A1A2E"/>
          <w:sz w:val="22"/>
        </w:rPr>
        <w:t>The alternating format forces the model to be explicit about its reasoning before each action. This transparency reduces error propagation — if the model reasons incorrectly, the error is visible in the thought trace and can be corrected in subsequent steps. In contrast, action-only agents have no such self-monitoring mechanism.</w:t>
      </w:r>
    </w:p>
    <w:p>
      <w:pPr>
        <w:spacing w:before="140" w:after="40"/>
      </w:pPr>
      <w:r>
        <w:rPr>
          <w:b/>
          <w:color w:val="1A1A2E"/>
          <w:sz w:val="22"/>
        </w:rPr>
        <w:t>Synergy Between Reasoning and Acting</w:t>
      </w:r>
    </w:p>
    <w:p>
      <w:pPr>
        <w:spacing w:before="0" w:after="100"/>
        <w:jc w:val="both"/>
      </w:pPr>
      <w:r>
        <w:rPr>
          <w:color w:val="1A1A2E"/>
          <w:sz w:val="22"/>
        </w:rPr>
        <w:t>Reasoning provides a working memory that persists across action-observation cycles, allowing the model to maintain task context even after many steps. Acting provides fresh grounding — each observation updates the reasoning without requiring the model to memorise an entire dialogue history.</w:t>
      </w:r>
    </w:p>
    <w:p>
      <w:pPr>
        <w:spacing w:before="140" w:after="40"/>
      </w:pPr>
      <w:r>
        <w:rPr>
          <w:b/>
          <w:color w:val="1A1A2E"/>
          <w:sz w:val="22"/>
        </w:rPr>
        <w:t>Human Interpretability</w:t>
      </w:r>
    </w:p>
    <w:p>
      <w:pPr>
        <w:spacing w:before="0" w:after="100"/>
        <w:jc w:val="both"/>
      </w:pPr>
      <w:r>
        <w:rPr>
          <w:color w:val="1A1A2E"/>
          <w:sz w:val="22"/>
        </w:rPr>
        <w:t>Because reasoning traces are explicitly generated before each action, the full decision path is transparent. Evaluators can verify not just whether the final answer is correct, but whether the reasoning chain is logically sound — a significant advantage over end-to-end black-box systems.</w:t>
      </w:r>
    </w:p>
    <w:p>
      <w:pPr>
        <w:spacing w:before="200" w:after="60"/>
      </w:pPr>
      <w:r>
        <w:rPr>
          <w:b/>
          <w:color w:val="006E6E"/>
          <w:sz w:val="24"/>
        </w:rPr>
        <w:t>Key Findings</w:t>
      </w:r>
    </w:p>
    <w:p>
      <w:pPr>
        <w:pStyle w:val="ListBullet"/>
        <w:spacing w:before="20" w:after="40"/>
        <w:ind w:left="432"/>
      </w:pPr>
      <w:r>
        <w:rPr>
          <w:color w:val="1A1A2E"/>
          <w:sz w:val="22"/>
        </w:rPr>
        <w:t>ReAct outperforms chain-of-thought alone on HotPotQA (multi-hop QA) by 3.2% and on Fever (fact verification) by 4.7%.</w:t>
      </w:r>
    </w:p>
    <w:p>
      <w:pPr>
        <w:pStyle w:val="ListBullet"/>
        <w:spacing w:before="20" w:after="40"/>
        <w:ind w:left="432"/>
      </w:pPr>
      <w:r>
        <w:rPr>
          <w:color w:val="1A1A2E"/>
          <w:sz w:val="22"/>
        </w:rPr>
        <w:t>On ALFWorld (household task completion), ReAct achieves 71% success vs. 37% for imitation learning baselines — a 34% absolute improvement.</w:t>
      </w:r>
    </w:p>
    <w:p>
      <w:pPr>
        <w:pStyle w:val="ListBullet"/>
        <w:spacing w:before="20" w:after="40"/>
        <w:ind w:left="432"/>
      </w:pPr>
      <w:r>
        <w:rPr>
          <w:color w:val="1A1A2E"/>
          <w:sz w:val="22"/>
        </w:rPr>
        <w:t>On WebShop (e-commerce decision making), ReAct outperforms imitation learning by 10% absolute.</w:t>
      </w:r>
    </w:p>
    <w:p>
      <w:pPr>
        <w:pStyle w:val="ListBullet"/>
        <w:spacing w:before="20" w:after="40"/>
        <w:ind w:left="432"/>
      </w:pPr>
      <w:r>
        <w:rPr>
          <w:color w:val="1A1A2E"/>
          <w:sz w:val="22"/>
        </w:rPr>
        <w:t>ReAct reduces hallucination from 14% to 6% on HotPotQA compared to chain-of-thought without actions.</w:t>
      </w:r>
    </w:p>
    <w:p>
      <w:pPr>
        <w:pStyle w:val="ListBullet"/>
        <w:spacing w:before="20" w:after="40"/>
        <w:ind w:left="432"/>
      </w:pPr>
      <w:r>
        <w:rPr>
          <w:color w:val="1A1A2E"/>
          <w:sz w:val="22"/>
        </w:rPr>
        <w:t>All results achieved with only 1-2 in-context examples — no fine-tuning required.</w:t>
      </w:r>
    </w:p>
    <w:p>
      <w:pPr>
        <w:spacing w:before="200" w:after="60"/>
      </w:pPr>
      <w:r>
        <w:rPr>
          <w:b/>
          <w:color w:val="006E6E"/>
          <w:sz w:val="24"/>
        </w:rPr>
        <w:t>Limitations and Research Gaps</w:t>
      </w:r>
    </w:p>
    <w:p>
      <w:pPr>
        <w:spacing w:before="140" w:after="40"/>
      </w:pPr>
      <w:r>
        <w:rPr>
          <w:b/>
          <w:color w:val="1A1A2E"/>
          <w:sz w:val="22"/>
        </w:rPr>
        <w:t>Limitation 1: Manual Reasoning Trajectory Design</w:t>
      </w:r>
    </w:p>
    <w:p>
      <w:pPr>
        <w:spacing w:before="0" w:after="100"/>
        <w:jc w:val="both"/>
      </w:pPr>
      <w:r>
        <w:rPr>
          <w:color w:val="1A1A2E"/>
          <w:sz w:val="22"/>
        </w:rPr>
        <w:t>ReAct requires carefully crafted in-context examples that demonstrate the Thought-Action-Observation format. The quality of these examples directly determines performance. Poor examples cause repetitive reasoning loops, irrelevant tool calls, and circular behaviour. Scaling this to diverse domains requires significant human effort.</w:t>
      </w:r>
    </w:p>
    <w:p>
      <w:pPr>
        <w:spacing w:before="140" w:after="40"/>
      </w:pPr>
      <w:r>
        <w:rPr>
          <w:b/>
          <w:color w:val="1A1A2E"/>
          <w:sz w:val="22"/>
        </w:rPr>
        <w:t>Limitation 2: Single-Agent, Reactive Design</w:t>
      </w:r>
    </w:p>
    <w:p>
      <w:pPr>
        <w:spacing w:before="0" w:after="100"/>
        <w:jc w:val="both"/>
      </w:pPr>
      <w:r>
        <w:rPr>
          <w:color w:val="1A1A2E"/>
          <w:sz w:val="22"/>
        </w:rPr>
        <w:t>ReAct is a single-agent framework initiated by a specific user query. There is no multi-agent coordination, no long-term memory across sessions, and no autonomous monitoring capability. Each invocation is independent — the agent cannot build on previous sessions or take proactive action without human prompting.</w:t>
      </w:r>
    </w:p>
    <w:p>
      <w:pPr>
        <w:spacing w:before="140" w:after="40"/>
      </w:pPr>
      <w:r>
        <w:rPr>
          <w:b/>
          <w:color w:val="1A1A2E"/>
          <w:sz w:val="22"/>
        </w:rPr>
        <w:t>Limitation 3: Tool Quality Dependency</w:t>
      </w:r>
    </w:p>
    <w:p>
      <w:pPr>
        <w:spacing w:before="0" w:after="100"/>
        <w:jc w:val="both"/>
      </w:pPr>
      <w:r>
        <w:rPr>
          <w:color w:val="1A1A2E"/>
          <w:sz w:val="22"/>
        </w:rPr>
        <w:t>When external tools return empty, irrelevant, or incorrect results, ReAct agents frequently fail without recovery. There is no formal fallback mechanism — the agent either repeats the same failed action or generates a hallucinated response.</w:t>
      </w:r>
    </w:p>
    <w:p>
      <w:r>
        <w:br w:type="page"/>
      </w:r>
    </w:p>
    <w:p>
      <w:pPr>
        <w:spacing w:before="320" w:after="80"/>
        <w:pBdr>
          <w:bottom w:val="single" w:sz="8" w:space="1" w:color="0D47A1"/>
        </w:pBdr>
      </w:pPr>
      <w:r>
        <w:rPr>
          <w:b/>
          <w:color w:val="0D47A1"/>
          <w:sz w:val="32"/>
        </w:rPr>
        <w:t>PAPER 2</w:t>
      </w:r>
    </w:p>
    <w:p>
      <w:pPr>
        <w:spacing w:before="80" w:after="120"/>
        <w:jc w:val="center"/>
      </w:pPr>
      <w:r>
        <w:rPr>
          <w:b/>
          <w:color w:val="0D47A1"/>
          <w:sz w:val="26"/>
        </w:rPr>
        <w:t>InsightPilot: An LLM-Empowered Automated Data Exploration System</w:t>
      </w:r>
    </w:p>
    <w:p>
      <w:pPr>
        <w:spacing w:before="200" w:after="60"/>
      </w:pPr>
      <w:r>
        <w:rPr>
          <w:b/>
          <w:color w:val="006E6E"/>
          <w:sz w:val="24"/>
        </w:rPr>
        <w:t>Paper Information</w:t>
      </w:r>
    </w:p>
    <w:tbl>
      <w:tblPr>
        <w:tblStyle w:val="TableGrid"/>
        <w:tblW w:type="auto" w:w="0"/>
        <w:jc w:val="left"/>
        <w:tblLook w:firstColumn="1" w:firstRow="1" w:lastColumn="0" w:lastRow="0" w:noHBand="0" w:noVBand="1" w:val="04A0"/>
      </w:tblPr>
      <w:tblGrid>
        <w:gridCol w:w="4514"/>
        <w:gridCol w:w="4514"/>
      </w:tblGrid>
      <w:tr>
        <w:tc>
          <w:tcPr>
            <w:tcW w:type="dxa" w:w="2448"/>
            <w:shd w:val="clear" w:color="auto" w:fill="0D47A1"/>
          </w:tcPr>
          <w:p>
            <w:r>
              <w:rPr>
                <w:b/>
                <w:color w:val="FFFFFF"/>
                <w:sz w:val="20"/>
              </w:rPr>
              <w:t>Full Title</w:t>
            </w:r>
          </w:p>
        </w:tc>
        <w:tc>
          <w:tcPr>
            <w:tcW w:type="dxa" w:w="7056"/>
            <w:shd w:val="clear" w:color="auto" w:fill="EEF4FF"/>
          </w:tcPr>
          <w:p>
            <w:r>
              <w:rPr>
                <w:color w:val="1A1A2E"/>
                <w:sz w:val="20"/>
              </w:rPr>
              <w:t>Demonstration of InsightPilot: An LLM-Empowered Automated Data Exploration System</w:t>
            </w:r>
          </w:p>
        </w:tc>
      </w:tr>
      <w:tr>
        <w:tc>
          <w:tcPr>
            <w:tcW w:type="dxa" w:w="2448"/>
            <w:shd w:val="clear" w:color="auto" w:fill="0D47A1"/>
          </w:tcPr>
          <w:p>
            <w:r>
              <w:rPr>
                <w:b/>
                <w:color w:val="FFFFFF"/>
                <w:sz w:val="20"/>
              </w:rPr>
              <w:t>Authors</w:t>
            </w:r>
          </w:p>
        </w:tc>
        <w:tc>
          <w:tcPr>
            <w:tcW w:type="dxa" w:w="7056"/>
            <w:shd w:val="clear" w:color="auto" w:fill="FFFFFF"/>
          </w:tcPr>
          <w:p>
            <w:r>
              <w:rPr>
                <w:color w:val="1A1A2E"/>
                <w:sz w:val="20"/>
              </w:rPr>
              <w:t>Pingchuan Ma, Rui Ding, Shuai Wang, Shi Han, Dongmei Zhang</w:t>
            </w:r>
          </w:p>
        </w:tc>
      </w:tr>
      <w:tr>
        <w:tc>
          <w:tcPr>
            <w:tcW w:type="dxa" w:w="2448"/>
            <w:shd w:val="clear" w:color="auto" w:fill="0D47A1"/>
          </w:tcPr>
          <w:p>
            <w:r>
              <w:rPr>
                <w:b/>
                <w:color w:val="FFFFFF"/>
                <w:sz w:val="20"/>
              </w:rPr>
              <w:t>Affiliation</w:t>
            </w:r>
          </w:p>
        </w:tc>
        <w:tc>
          <w:tcPr>
            <w:tcW w:type="dxa" w:w="7056"/>
            <w:shd w:val="clear" w:color="auto" w:fill="EEF4FF"/>
          </w:tcPr>
          <w:p>
            <w:r>
              <w:rPr>
                <w:color w:val="1A1A2E"/>
                <w:sz w:val="20"/>
              </w:rPr>
              <w:t>Microsoft Research Asia, Beijing</w:t>
            </w:r>
          </w:p>
        </w:tc>
      </w:tr>
      <w:tr>
        <w:tc>
          <w:tcPr>
            <w:tcW w:type="dxa" w:w="2448"/>
            <w:shd w:val="clear" w:color="auto" w:fill="0D47A1"/>
          </w:tcPr>
          <w:p>
            <w:r>
              <w:rPr>
                <w:b/>
                <w:color w:val="FFFFFF"/>
                <w:sz w:val="20"/>
              </w:rPr>
              <w:t>Published</w:t>
            </w:r>
          </w:p>
        </w:tc>
        <w:tc>
          <w:tcPr>
            <w:tcW w:type="dxa" w:w="7056"/>
            <w:shd w:val="clear" w:color="auto" w:fill="FFFFFF"/>
          </w:tcPr>
          <w:p>
            <w:r>
              <w:rPr>
                <w:color w:val="1A1A2E"/>
                <w:sz w:val="20"/>
              </w:rPr>
              <w:t>VLDB 2023 — Very Large Data Bases Conference</w:t>
            </w:r>
          </w:p>
        </w:tc>
      </w:tr>
      <w:tr>
        <w:tc>
          <w:tcPr>
            <w:tcW w:type="dxa" w:w="2448"/>
            <w:shd w:val="clear" w:color="auto" w:fill="0D47A1"/>
          </w:tcPr>
          <w:p>
            <w:r>
              <w:rPr>
                <w:b/>
                <w:color w:val="FFFFFF"/>
                <w:sz w:val="20"/>
              </w:rPr>
              <w:t>arXiv</w:t>
            </w:r>
          </w:p>
        </w:tc>
        <w:tc>
          <w:tcPr>
            <w:tcW w:type="dxa" w:w="7056"/>
            <w:shd w:val="clear" w:color="auto" w:fill="EEF4FF"/>
          </w:tcPr>
          <w:p>
            <w:r>
              <w:rPr>
                <w:color w:val="1A1A2E"/>
                <w:sz w:val="20"/>
              </w:rPr>
              <w:t>arXiv:2304.00477</w:t>
            </w:r>
          </w:p>
        </w:tc>
      </w:tr>
      <w:tr>
        <w:tc>
          <w:tcPr>
            <w:tcW w:type="dxa" w:w="2448"/>
            <w:shd w:val="clear" w:color="auto" w:fill="0D47A1"/>
          </w:tcPr>
          <w:p>
            <w:r>
              <w:rPr>
                <w:b/>
                <w:color w:val="FFFFFF"/>
                <w:sz w:val="20"/>
              </w:rPr>
              <w:t>Year</w:t>
            </w:r>
          </w:p>
        </w:tc>
        <w:tc>
          <w:tcPr>
            <w:tcW w:type="dxa" w:w="7056"/>
            <w:shd w:val="clear" w:color="auto" w:fill="FFFFFF"/>
          </w:tcPr>
          <w:p>
            <w:r>
              <w:rPr>
                <w:color w:val="1A1A2E"/>
                <w:sz w:val="20"/>
              </w:rPr>
              <w:t>2023</w:t>
            </w:r>
          </w:p>
        </w:tc>
      </w:tr>
      <w:tr>
        <w:tc>
          <w:tcPr>
            <w:tcW w:type="dxa" w:w="2448"/>
            <w:shd w:val="clear" w:color="auto" w:fill="0D47A1"/>
          </w:tcPr>
          <w:p>
            <w:r>
              <w:rPr>
                <w:b/>
                <w:color w:val="FFFFFF"/>
                <w:sz w:val="20"/>
              </w:rPr>
              <w:t>Domain</w:t>
            </w:r>
          </w:p>
        </w:tc>
        <w:tc>
          <w:tcPr>
            <w:tcW w:type="dxa" w:w="7056"/>
            <w:shd w:val="clear" w:color="auto" w:fill="EEF4FF"/>
          </w:tcPr>
          <w:p>
            <w:r>
              <w:rPr>
                <w:color w:val="1A1A2E"/>
                <w:sz w:val="20"/>
              </w:rPr>
              <w:t>Data Engineering — Automated Data Exploration — LLM Systems</w:t>
            </w:r>
          </w:p>
        </w:tc>
      </w:tr>
    </w:tbl>
    <w:p/>
    <w:p>
      <w:pPr>
        <w:spacing w:before="200" w:after="60"/>
      </w:pPr>
      <w:r>
        <w:rPr>
          <w:b/>
          <w:color w:val="006E6E"/>
          <w:sz w:val="24"/>
        </w:rPr>
        <w:t>Detailed Summary</w:t>
      </w:r>
    </w:p>
    <w:p>
      <w:pPr>
        <w:spacing w:before="0" w:after="100"/>
        <w:jc w:val="both"/>
      </w:pPr>
      <w:r>
        <w:rPr>
          <w:color w:val="1A1A2E"/>
          <w:sz w:val="22"/>
        </w:rPr>
        <w:t>InsightPilot addresses the challenge that data exploration requires both deep understanding of the dataset and expertise in choosing appropriate analysis techniques. Non-expert users often do not know which analyses are most informative, and expert users spend significant time on routine exploratory steps that could be automated.</w:t>
      </w:r>
    </w:p>
    <w:p>
      <w:pPr>
        <w:spacing w:before="0" w:after="100"/>
        <w:jc w:val="both"/>
      </w:pPr>
      <w:r>
        <w:rPr>
          <w:color w:val="1A1A2E"/>
          <w:sz w:val="22"/>
        </w:rPr>
        <w:t>The system introduces a hierarchical abstraction called IQueries (Intentional Queries) — a high-level specification of analytical intent that sits between natural language questions and concrete data operations. An LLM selects the most appropriate analysis intent at each step, and the IQuery is then executed by a specialised Insight Engine that handles the actual data operations.</w:t>
      </w:r>
    </w:p>
    <w:p>
      <w:pPr>
        <w:spacing w:before="0" w:after="100"/>
        <w:jc w:val="both"/>
      </w:pPr>
      <w:r>
        <w:rPr>
          <w:color w:val="1A1A2E"/>
          <w:sz w:val="22"/>
        </w:rPr>
        <w:t>The LLM acts as a planner and intent classifier rather than a raw code generator. This prevents hallucinations about data values — the Insight Engine validates all computations against the actual data, and only verified findings are returned to the LLM. The system automates the typical sequence an expert analyst would follow: first understanding the dataset structure, then summarising key statistics, then comparing subgroups, then explaining notable patterns.</w:t>
      </w:r>
    </w:p>
    <w:p>
      <w:pPr>
        <w:spacing w:before="200" w:after="60"/>
      </w:pPr>
      <w:r>
        <w:rPr>
          <w:b/>
          <w:color w:val="006E6E"/>
          <w:sz w:val="24"/>
        </w:rPr>
        <w:t>Key Technical Contributions</w:t>
      </w:r>
    </w:p>
    <w:p>
      <w:pPr>
        <w:spacing w:before="140" w:after="40"/>
      </w:pPr>
      <w:r>
        <w:rPr>
          <w:b/>
          <w:color w:val="1A1A2E"/>
          <w:sz w:val="22"/>
        </w:rPr>
        <w:t>IQuery Abstraction Layer</w:t>
      </w:r>
    </w:p>
    <w:p>
      <w:pPr>
        <w:spacing w:before="0" w:after="100"/>
        <w:jc w:val="both"/>
      </w:pPr>
      <w:r>
        <w:rPr>
          <w:color w:val="1A1A2E"/>
          <w:sz w:val="22"/>
        </w:rPr>
        <w:t>IQueries decouple semantic intent from technical execution. Instead of the LLM generating SQL or Python that might be syntactically incorrect or logically wrong, it generates a structured intent specification. The Insight Engine translates this into the correct data operation. This separation of concerns reduces errors and makes the system more robust to data complexity.</w:t>
      </w:r>
    </w:p>
    <w:p>
      <w:pPr>
        <w:spacing w:before="140" w:after="40"/>
      </w:pPr>
      <w:r>
        <w:rPr>
          <w:b/>
          <w:color w:val="1A1A2E"/>
          <w:sz w:val="22"/>
        </w:rPr>
        <w:t>Four Analysis Actions</w:t>
      </w:r>
    </w:p>
    <w:p>
      <w:pPr>
        <w:spacing w:before="0" w:after="80"/>
        <w:jc w:val="both"/>
      </w:pPr>
      <w:r>
        <w:rPr>
          <w:b/>
          <w:color w:val="1A1A2E"/>
          <w:sz w:val="22"/>
        </w:rPr>
        <w:t xml:space="preserve">Understand: </w:t>
      </w:r>
      <w:r>
        <w:rPr>
          <w:color w:val="1A1A2E"/>
          <w:sz w:val="22"/>
        </w:rPr>
        <w:t>Characterises the dataset — schema, data types, value ranges, missing values, distributions.</w:t>
      </w:r>
    </w:p>
    <w:p>
      <w:pPr>
        <w:spacing w:before="0" w:after="80"/>
        <w:jc w:val="both"/>
      </w:pPr>
      <w:r>
        <w:rPr>
          <w:b/>
          <w:color w:val="1A1A2E"/>
          <w:sz w:val="22"/>
        </w:rPr>
        <w:t xml:space="preserve">Summarize: </w:t>
      </w:r>
      <w:r>
        <w:rPr>
          <w:color w:val="1A1A2E"/>
          <w:sz w:val="22"/>
        </w:rPr>
        <w:t>Generates statistical summaries — mean, median, correlations, outlier counts.</w:t>
      </w:r>
    </w:p>
    <w:p>
      <w:pPr>
        <w:spacing w:before="0" w:after="80"/>
        <w:jc w:val="both"/>
      </w:pPr>
      <w:r>
        <w:rPr>
          <w:b/>
          <w:color w:val="1A1A2E"/>
          <w:sz w:val="22"/>
        </w:rPr>
        <w:t xml:space="preserve">Compare: </w:t>
      </w:r>
      <w:r>
        <w:rPr>
          <w:color w:val="1A1A2E"/>
          <w:sz w:val="22"/>
        </w:rPr>
        <w:t>Contrasts subgroups or time periods — who buys more, which region performs better.</w:t>
      </w:r>
    </w:p>
    <w:p>
      <w:pPr>
        <w:spacing w:before="0" w:after="80"/>
        <w:jc w:val="both"/>
      </w:pPr>
      <w:r>
        <w:rPr>
          <w:b/>
          <w:color w:val="1A1A2E"/>
          <w:sz w:val="22"/>
        </w:rPr>
        <w:t xml:space="preserve">Explain: </w:t>
      </w:r>
      <w:r>
        <w:rPr>
          <w:color w:val="1A1A2E"/>
          <w:sz w:val="22"/>
        </w:rPr>
        <w:t>Identifies factors explaining a target variable or observed pattern.</w:t>
      </w:r>
    </w:p>
    <w:p>
      <w:pPr>
        <w:spacing w:before="140" w:after="40"/>
      </w:pPr>
      <w:r>
        <w:rPr>
          <w:b/>
          <w:color w:val="1A1A2E"/>
          <w:sz w:val="22"/>
        </w:rPr>
        <w:t>Grounded Insight Generation</w:t>
      </w:r>
    </w:p>
    <w:p>
      <w:pPr>
        <w:spacing w:before="0" w:after="100"/>
        <w:jc w:val="both"/>
      </w:pPr>
      <w:r>
        <w:rPr>
          <w:color w:val="1A1A2E"/>
          <w:sz w:val="22"/>
        </w:rPr>
        <w:t>Unlike pure LLM chatbots that can confabulate statistics, InsightPilot ensures every numerical claim is backed by actual query results. The Insight Engine returns structured data to the LLM, which then generates natural language summaries — never inventing numbers that were not in the query result.</w:t>
      </w:r>
    </w:p>
    <w:p>
      <w:pPr>
        <w:spacing w:before="200" w:after="60"/>
      </w:pPr>
      <w:r>
        <w:rPr>
          <w:b/>
          <w:color w:val="006E6E"/>
          <w:sz w:val="24"/>
        </w:rPr>
        <w:t>Key Findings</w:t>
      </w:r>
    </w:p>
    <w:p>
      <w:pPr>
        <w:pStyle w:val="ListBullet"/>
        <w:spacing w:before="20" w:after="40"/>
        <w:ind w:left="432"/>
      </w:pPr>
      <w:r>
        <w:rPr>
          <w:color w:val="1A1A2E"/>
          <w:sz w:val="22"/>
        </w:rPr>
        <w:t>Outperformed Code Interpreter (ChatGPT plugin) and LangChain Pandas Agent on relevance, completeness, and understandability across a user study with 4 participants and real datasets.</w:t>
      </w:r>
    </w:p>
    <w:p>
      <w:pPr>
        <w:pStyle w:val="ListBullet"/>
        <w:spacing w:before="20" w:after="40"/>
        <w:ind w:left="432"/>
      </w:pPr>
      <w:r>
        <w:rPr>
          <w:color w:val="1A1A2E"/>
          <w:sz w:val="22"/>
        </w:rPr>
        <w:t>The IQuery abstraction significantly reduces hallucination compared to direct code generation approaches, as the LLM never directly accesses raw data values.</w:t>
      </w:r>
    </w:p>
    <w:p>
      <w:pPr>
        <w:pStyle w:val="ListBullet"/>
        <w:spacing w:before="20" w:after="40"/>
        <w:ind w:left="432"/>
      </w:pPr>
      <w:r>
        <w:rPr>
          <w:color w:val="1A1A2E"/>
          <w:sz w:val="22"/>
        </w:rPr>
        <w:t>The Insight Engine's structured output enables the LLM to generate more accurate and actionable summaries than when using free-form SQL generation.</w:t>
      </w:r>
    </w:p>
    <w:p>
      <w:pPr>
        <w:spacing w:before="200" w:after="60"/>
      </w:pPr>
      <w:r>
        <w:rPr>
          <w:b/>
          <w:color w:val="006E6E"/>
          <w:sz w:val="24"/>
        </w:rPr>
        <w:t>Limitations and Research Gaps</w:t>
      </w:r>
    </w:p>
    <w:p>
      <w:pPr>
        <w:spacing w:before="140" w:after="40"/>
      </w:pPr>
      <w:r>
        <w:rPr>
          <w:b/>
          <w:color w:val="1A1A2E"/>
          <w:sz w:val="22"/>
        </w:rPr>
        <w:t>Limitation 1: Only Four Predefined Actions</w:t>
      </w:r>
    </w:p>
    <w:p>
      <w:pPr>
        <w:spacing w:before="0" w:after="100"/>
        <w:jc w:val="both"/>
      </w:pPr>
      <w:r>
        <w:rPr>
          <w:color w:val="1A1A2E"/>
          <w:sz w:val="22"/>
        </w:rPr>
        <w:t>The system is constrained to four fixed analysis actions. Real data exploration often requires custom analyses — time series decomposition, anomaly detection, causal analysis, clustering — that fall outside these four categories. The system cannot extend its action repertoire without engineering effort.</w:t>
      </w:r>
    </w:p>
    <w:p>
      <w:pPr>
        <w:spacing w:before="140" w:after="40"/>
      </w:pPr>
      <w:r>
        <w:rPr>
          <w:b/>
          <w:color w:val="1A1A2E"/>
          <w:sz w:val="22"/>
        </w:rPr>
        <w:t>Limitation 2: Reactive Single-Session Design</w:t>
      </w:r>
    </w:p>
    <w:p>
      <w:pPr>
        <w:spacing w:before="0" w:after="100"/>
        <w:jc w:val="both"/>
      </w:pPr>
      <w:r>
        <w:rPr>
          <w:color w:val="1A1A2E"/>
          <w:sz w:val="22"/>
        </w:rPr>
        <w:t>InsightPilot requires a user to open the system and ask a question to start any analysis. There is no continuous monitoring, no autonomous anomaly detection, and no ability to proactively alert users when something important changes in the data.</w:t>
      </w:r>
    </w:p>
    <w:p>
      <w:pPr>
        <w:spacing w:before="140" w:after="40"/>
      </w:pPr>
      <w:r>
        <w:rPr>
          <w:b/>
          <w:color w:val="1A1A2E"/>
          <w:sz w:val="22"/>
        </w:rPr>
        <w:t>Limitation 3: Small-Scale Evaluation</w:t>
      </w:r>
    </w:p>
    <w:p>
      <w:pPr>
        <w:spacing w:before="0" w:after="100"/>
        <w:jc w:val="both"/>
      </w:pPr>
      <w:r>
        <w:rPr>
          <w:color w:val="1A1A2E"/>
          <w:sz w:val="22"/>
        </w:rPr>
        <w:t>The user study involved only 4 participants with manually selected datasets. The conclusions about outperforming Code Interpreter cannot be considered statistically robust. Real-world deployment across diverse datasets and user types was not demonstrated.</w:t>
      </w:r>
    </w:p>
    <w:p>
      <w:r>
        <w:br w:type="page"/>
      </w:r>
    </w:p>
    <w:p>
      <w:pPr>
        <w:spacing w:before="320" w:after="80"/>
        <w:pBdr>
          <w:bottom w:val="single" w:sz="8" w:space="1" w:color="0D47A1"/>
        </w:pBdr>
      </w:pPr>
      <w:r>
        <w:rPr>
          <w:b/>
          <w:color w:val="0D47A1"/>
          <w:sz w:val="32"/>
        </w:rPr>
        <w:t>PAPER 3</w:t>
      </w:r>
    </w:p>
    <w:p>
      <w:pPr>
        <w:spacing w:before="80" w:after="120"/>
        <w:jc w:val="center"/>
      </w:pPr>
      <w:r>
        <w:rPr>
          <w:b/>
          <w:color w:val="0D47A1"/>
          <w:sz w:val="26"/>
        </w:rPr>
        <w:t>Data-Copilot: Bridging Billions of Data and Humans with Autonomous Workflow</w:t>
      </w:r>
    </w:p>
    <w:p>
      <w:pPr>
        <w:spacing w:before="200" w:after="60"/>
      </w:pPr>
      <w:r>
        <w:rPr>
          <w:b/>
          <w:color w:val="006E6E"/>
          <w:sz w:val="24"/>
        </w:rPr>
        <w:t>Paper Information</w:t>
      </w:r>
    </w:p>
    <w:tbl>
      <w:tblPr>
        <w:tblStyle w:val="TableGrid"/>
        <w:tblW w:type="auto" w:w="0"/>
        <w:jc w:val="left"/>
        <w:tblLook w:firstColumn="1" w:firstRow="1" w:lastColumn="0" w:lastRow="0" w:noHBand="0" w:noVBand="1" w:val="04A0"/>
      </w:tblPr>
      <w:tblGrid>
        <w:gridCol w:w="4514"/>
        <w:gridCol w:w="4514"/>
      </w:tblGrid>
      <w:tr>
        <w:tc>
          <w:tcPr>
            <w:tcW w:type="dxa" w:w="2448"/>
            <w:shd w:val="clear" w:color="auto" w:fill="0D47A1"/>
          </w:tcPr>
          <w:p>
            <w:r>
              <w:rPr>
                <w:b/>
                <w:color w:val="FFFFFF"/>
                <w:sz w:val="20"/>
              </w:rPr>
              <w:t>Full Title</w:t>
            </w:r>
          </w:p>
        </w:tc>
        <w:tc>
          <w:tcPr>
            <w:tcW w:type="dxa" w:w="7056"/>
            <w:shd w:val="clear" w:color="auto" w:fill="EEF4FF"/>
          </w:tcPr>
          <w:p>
            <w:r>
              <w:rPr>
                <w:color w:val="1A1A2E"/>
                <w:sz w:val="20"/>
              </w:rPr>
              <w:t>Data-Copilot: Bridging Billions of Data and Humans with Autonomous Workflow</w:t>
            </w:r>
          </w:p>
        </w:tc>
      </w:tr>
      <w:tr>
        <w:tc>
          <w:tcPr>
            <w:tcW w:type="dxa" w:w="2448"/>
            <w:shd w:val="clear" w:color="auto" w:fill="0D47A1"/>
          </w:tcPr>
          <w:p>
            <w:r>
              <w:rPr>
                <w:b/>
                <w:color w:val="FFFFFF"/>
                <w:sz w:val="20"/>
              </w:rPr>
              <w:t>Authors</w:t>
            </w:r>
          </w:p>
        </w:tc>
        <w:tc>
          <w:tcPr>
            <w:tcW w:type="dxa" w:w="7056"/>
            <w:shd w:val="clear" w:color="auto" w:fill="FFFFFF"/>
          </w:tcPr>
          <w:p>
            <w:r>
              <w:rPr>
                <w:color w:val="1A1A2E"/>
                <w:sz w:val="20"/>
              </w:rPr>
              <w:t>Wenqi Zhang, Yongliang Shen, Zeqi Tan, Guiyang Hou, Weiming Lu, Yueting Zhuang</w:t>
            </w:r>
          </w:p>
        </w:tc>
      </w:tr>
      <w:tr>
        <w:tc>
          <w:tcPr>
            <w:tcW w:type="dxa" w:w="2448"/>
            <w:shd w:val="clear" w:color="auto" w:fill="0D47A1"/>
          </w:tcPr>
          <w:p>
            <w:r>
              <w:rPr>
                <w:b/>
                <w:color w:val="FFFFFF"/>
                <w:sz w:val="20"/>
              </w:rPr>
              <w:t>Affiliation</w:t>
            </w:r>
          </w:p>
        </w:tc>
        <w:tc>
          <w:tcPr>
            <w:tcW w:type="dxa" w:w="7056"/>
            <w:shd w:val="clear" w:color="auto" w:fill="EEF4FF"/>
          </w:tcPr>
          <w:p>
            <w:r>
              <w:rPr>
                <w:color w:val="1A1A2E"/>
                <w:sz w:val="20"/>
              </w:rPr>
              <w:t>Zhejiang University, China</w:t>
            </w:r>
          </w:p>
        </w:tc>
      </w:tr>
      <w:tr>
        <w:tc>
          <w:tcPr>
            <w:tcW w:type="dxa" w:w="2448"/>
            <w:shd w:val="clear" w:color="auto" w:fill="0D47A1"/>
          </w:tcPr>
          <w:p>
            <w:r>
              <w:rPr>
                <w:b/>
                <w:color w:val="FFFFFF"/>
                <w:sz w:val="20"/>
              </w:rPr>
              <w:t>Published</w:t>
            </w:r>
          </w:p>
        </w:tc>
        <w:tc>
          <w:tcPr>
            <w:tcW w:type="dxa" w:w="7056"/>
            <w:shd w:val="clear" w:color="auto" w:fill="FFFFFF"/>
          </w:tcPr>
          <w:p>
            <w:r>
              <w:rPr>
                <w:color w:val="1A1A2E"/>
                <w:sz w:val="20"/>
              </w:rPr>
              <w:t>arXiv:2306.07209 — 2023 (updated 2025)</w:t>
            </w:r>
          </w:p>
        </w:tc>
      </w:tr>
      <w:tr>
        <w:tc>
          <w:tcPr>
            <w:tcW w:type="dxa" w:w="2448"/>
            <w:shd w:val="clear" w:color="auto" w:fill="0D47A1"/>
          </w:tcPr>
          <w:p>
            <w:r>
              <w:rPr>
                <w:b/>
                <w:color w:val="FFFFFF"/>
                <w:sz w:val="20"/>
              </w:rPr>
              <w:t>arXiv</w:t>
            </w:r>
          </w:p>
        </w:tc>
        <w:tc>
          <w:tcPr>
            <w:tcW w:type="dxa" w:w="7056"/>
            <w:shd w:val="clear" w:color="auto" w:fill="EEF4FF"/>
          </w:tcPr>
          <w:p>
            <w:r>
              <w:rPr>
                <w:color w:val="1A1A2E"/>
                <w:sz w:val="20"/>
              </w:rPr>
              <w:t>arXiv:2306.07209</w:t>
            </w:r>
          </w:p>
        </w:tc>
      </w:tr>
      <w:tr>
        <w:tc>
          <w:tcPr>
            <w:tcW w:type="dxa" w:w="2448"/>
            <w:shd w:val="clear" w:color="auto" w:fill="0D47A1"/>
          </w:tcPr>
          <w:p>
            <w:r>
              <w:rPr>
                <w:b/>
                <w:color w:val="FFFFFF"/>
                <w:sz w:val="20"/>
              </w:rPr>
              <w:t>Year</w:t>
            </w:r>
          </w:p>
        </w:tc>
        <w:tc>
          <w:tcPr>
            <w:tcW w:type="dxa" w:w="7056"/>
            <w:shd w:val="clear" w:color="auto" w:fill="FFFFFF"/>
          </w:tcPr>
          <w:p>
            <w:r>
              <w:rPr>
                <w:color w:val="1A1A2E"/>
                <w:sz w:val="20"/>
              </w:rPr>
              <w:t>2024</w:t>
            </w:r>
          </w:p>
        </w:tc>
      </w:tr>
      <w:tr>
        <w:tc>
          <w:tcPr>
            <w:tcW w:type="dxa" w:w="2448"/>
            <w:shd w:val="clear" w:color="auto" w:fill="0D47A1"/>
          </w:tcPr>
          <w:p>
            <w:r>
              <w:rPr>
                <w:b/>
                <w:color w:val="FFFFFF"/>
                <w:sz w:val="20"/>
              </w:rPr>
              <w:t>Domain</w:t>
            </w:r>
          </w:p>
        </w:tc>
        <w:tc>
          <w:tcPr>
            <w:tcW w:type="dxa" w:w="7056"/>
            <w:shd w:val="clear" w:color="auto" w:fill="EEF4FF"/>
          </w:tcPr>
          <w:p>
            <w:r>
              <w:rPr>
                <w:color w:val="1A1A2E"/>
                <w:sz w:val="20"/>
              </w:rPr>
              <w:t>AI — Autonomous Data Analysis — LLM Agents — Financial AI</w:t>
            </w:r>
          </w:p>
        </w:tc>
      </w:tr>
    </w:tbl>
    <w:p/>
    <w:p>
      <w:pPr>
        <w:spacing w:before="200" w:after="60"/>
      </w:pPr>
      <w:r>
        <w:rPr>
          <w:b/>
          <w:color w:val="006E6E"/>
          <w:sz w:val="24"/>
        </w:rPr>
        <w:t>Detailed Summary</w:t>
      </w:r>
    </w:p>
    <w:p>
      <w:pPr>
        <w:spacing w:before="0" w:after="100"/>
        <w:jc w:val="both"/>
      </w:pPr>
      <w:r>
        <w:rPr>
          <w:color w:val="1A1A2E"/>
          <w:sz w:val="22"/>
        </w:rPr>
        <w:t>Data-Copilot addresses the inefficiency of generating analysis code from scratch for every user request. In large-scale deployments, many user questions follow recurring patterns — 'show daily revenue for last month' is structurally similar to 'show weekly orders for last quarter.' Generating fresh code for each identical pattern wastes tokens, introduces errors, and slows response time.</w:t>
      </w:r>
    </w:p>
    <w:p>
      <w:pPr>
        <w:spacing w:before="0" w:after="100"/>
        <w:jc w:val="both"/>
      </w:pPr>
      <w:r>
        <w:rPr>
          <w:color w:val="1A1A2E"/>
          <w:sz w:val="22"/>
        </w:rPr>
        <w:t>The system operates in two stages. In the Interface Design stage, the system proactively explores the data to identify common request patterns — it learns what kinds of questions are frequently asked about the data and abstracts these into reusable interfaces. An interface is a parameterised function that handles a class of requests — it takes a time period, metric, and aggregation level as parameters and returns the appropriate data.</w:t>
      </w:r>
    </w:p>
    <w:p>
      <w:pPr>
        <w:spacing w:before="0" w:after="100"/>
        <w:jc w:val="both"/>
      </w:pPr>
      <w:r>
        <w:rPr>
          <w:color w:val="1A1A2E"/>
          <w:sz w:val="22"/>
        </w:rPr>
        <w:t>In the Interface Dispatch stage, when a user query arrives, the LLM identifies which pre-built interface handles the request and calls it with the appropriate parameters. Since the interface code was validated during the design stage, dispatch is fast, accurate, and error-free. The LLM never writes raw data manipulation code at query time.</w:t>
      </w:r>
    </w:p>
    <w:p>
      <w:pPr>
        <w:spacing w:before="200" w:after="60"/>
      </w:pPr>
      <w:r>
        <w:rPr>
          <w:b/>
          <w:color w:val="006E6E"/>
          <w:sz w:val="24"/>
        </w:rPr>
        <w:t>Key Technical Contributions</w:t>
      </w:r>
    </w:p>
    <w:p>
      <w:pPr>
        <w:spacing w:before="140" w:after="40"/>
      </w:pPr>
      <w:r>
        <w:rPr>
          <w:b/>
          <w:color w:val="1A1A2E"/>
          <w:sz w:val="22"/>
        </w:rPr>
        <w:t>Two-Stage Architecture</w:t>
      </w:r>
    </w:p>
    <w:p>
      <w:pPr>
        <w:spacing w:before="0" w:after="100"/>
        <w:jc w:val="both"/>
      </w:pPr>
      <w:r>
        <w:rPr>
          <w:color w:val="1A1A2E"/>
          <w:sz w:val="22"/>
        </w:rPr>
        <w:t>The separation of design (offline, exploratory) from dispatch (online, responsive) fundamentally changes the reliability-efficiency tradeoff. Design can be slow and thorough; dispatch must be fast and accurate. By pre-computing reusable interfaces, the system achieves both simultaneously.</w:t>
      </w:r>
    </w:p>
    <w:p>
      <w:pPr>
        <w:spacing w:before="140" w:after="40"/>
      </w:pPr>
      <w:r>
        <w:rPr>
          <w:b/>
          <w:color w:val="1A1A2E"/>
          <w:sz w:val="22"/>
        </w:rPr>
        <w:t>Interface Repository</w:t>
      </w:r>
    </w:p>
    <w:p>
      <w:pPr>
        <w:spacing w:before="0" w:after="100"/>
        <w:jc w:val="both"/>
      </w:pPr>
      <w:r>
        <w:rPr>
          <w:color w:val="1A1A2E"/>
          <w:sz w:val="22"/>
        </w:rPr>
        <w:t>The interface repository stores validated, parameterised functions for common data access patterns. This repository grows with usage — new interfaces are added when the system encounters requests that fall outside existing coverage. Over time, the repository becomes a domain-specific library of data access patterns.</w:t>
      </w:r>
    </w:p>
    <w:p>
      <w:pPr>
        <w:spacing w:before="140" w:after="40"/>
      </w:pPr>
      <w:r>
        <w:rPr>
          <w:b/>
          <w:color w:val="1A1A2E"/>
          <w:sz w:val="22"/>
        </w:rPr>
        <w:t>Error Reduction Through Validated Interfaces</w:t>
      </w:r>
    </w:p>
    <w:p>
      <w:pPr>
        <w:spacing w:before="0" w:after="100"/>
        <w:jc w:val="both"/>
      </w:pPr>
      <w:r>
        <w:rPr>
          <w:color w:val="1A1A2E"/>
          <w:sz w:val="22"/>
        </w:rPr>
        <w:t>Since interfaces are validated during the design stage — executed against real data and checked for correctness — dispatch-time errors are dramatically reduced compared to on-the-fly code generation. The LLM only handles parameter selection, not code correctness.</w:t>
      </w:r>
    </w:p>
    <w:p>
      <w:pPr>
        <w:spacing w:before="200" w:after="60"/>
      </w:pPr>
      <w:r>
        <w:rPr>
          <w:b/>
          <w:color w:val="006E6E"/>
          <w:sz w:val="24"/>
        </w:rPr>
        <w:t>Key Findings</w:t>
      </w:r>
    </w:p>
    <w:p>
      <w:pPr>
        <w:pStyle w:val="ListBullet"/>
        <w:spacing w:before="20" w:after="40"/>
        <w:ind w:left="432"/>
      </w:pPr>
      <w:r>
        <w:rPr>
          <w:color w:val="1A1A2E"/>
          <w:sz w:val="22"/>
        </w:rPr>
        <w:t>Outperformed ReAct, Reflexion, and Multi-Agent baselines in execution accuracy on large-scale Chinese financial datasets covering stocks, funds, and news.</w:t>
      </w:r>
    </w:p>
    <w:p>
      <w:pPr>
        <w:pStyle w:val="ListBullet"/>
        <w:spacing w:before="20" w:after="40"/>
        <w:ind w:left="432"/>
      </w:pPr>
      <w:r>
        <w:rPr>
          <w:color w:val="1A1A2E"/>
          <w:sz w:val="22"/>
        </w:rPr>
        <w:t>Reduced token usage by reusing pre-built interfaces instead of generating code for every query — measured improvement of approximately 40% in token efficiency.</w:t>
      </w:r>
    </w:p>
    <w:p>
      <w:pPr>
        <w:pStyle w:val="ListBullet"/>
        <w:spacing w:before="20" w:after="40"/>
        <w:ind w:left="432"/>
      </w:pPr>
      <w:r>
        <w:rPr>
          <w:color w:val="1A1A2E"/>
          <w:sz w:val="22"/>
        </w:rPr>
        <w:t>Demonstrated that proactive interface design produces more stable and reliable data access than reactive code generation.</w:t>
      </w:r>
    </w:p>
    <w:p>
      <w:pPr>
        <w:pStyle w:val="ListBullet"/>
        <w:spacing w:before="20" w:after="40"/>
        <w:ind w:left="432"/>
      </w:pPr>
      <w:r>
        <w:rPr>
          <w:color w:val="1A1A2E"/>
          <w:sz w:val="22"/>
        </w:rPr>
        <w:t>Open-sourced with Alibaba financial data — one of the first publicly available large-scale financial data analysis agents.</w:t>
      </w:r>
    </w:p>
    <w:p>
      <w:pPr>
        <w:spacing w:before="200" w:after="60"/>
      </w:pPr>
      <w:r>
        <w:rPr>
          <w:b/>
          <w:color w:val="006E6E"/>
          <w:sz w:val="24"/>
        </w:rPr>
        <w:t>Limitations and Research Gaps</w:t>
      </w:r>
    </w:p>
    <w:p>
      <w:pPr>
        <w:spacing w:before="140" w:after="40"/>
      </w:pPr>
      <w:r>
        <w:rPr>
          <w:b/>
          <w:color w:val="1A1A2E"/>
          <w:sz w:val="22"/>
        </w:rPr>
        <w:t>Limitation 1: Financial Domain Only</w:t>
      </w:r>
    </w:p>
    <w:p>
      <w:pPr>
        <w:spacing w:before="0" w:after="100"/>
        <w:jc w:val="both"/>
      </w:pPr>
      <w:r>
        <w:rPr>
          <w:color w:val="1A1A2E"/>
          <w:sz w:val="22"/>
        </w:rPr>
        <w:t>The entire system was designed, trained, and evaluated on Chinese financial data — stocks, funds, financial news. The interface repository, the common request patterns, and the validation data are all specific to this domain. Generalising to healthcare, e-commerce, or operational business data requires building new interface repositories from scratch.</w:t>
      </w:r>
    </w:p>
    <w:p>
      <w:pPr>
        <w:spacing w:before="140" w:after="40"/>
      </w:pPr>
      <w:r>
        <w:rPr>
          <w:b/>
          <w:color w:val="1A1A2E"/>
          <w:sz w:val="22"/>
        </w:rPr>
        <w:t>Limitation 2: Fixed Interfaces After Deployment</w:t>
      </w:r>
    </w:p>
    <w:p>
      <w:pPr>
        <w:spacing w:before="0" w:after="100"/>
        <w:jc w:val="both"/>
      </w:pPr>
      <w:r>
        <w:rPr>
          <w:color w:val="1A1A2E"/>
          <w:sz w:val="22"/>
        </w:rPr>
        <w:t>Interfaces are designed in a batch process before deployment. Once deployed, the system cannot autonomously create new interfaces for request patterns it has never seen. Novel queries either fail or fall back to less reliable code generation. This creates a static capability ceiling.</w:t>
      </w:r>
    </w:p>
    <w:p>
      <w:pPr>
        <w:spacing w:before="140" w:after="40"/>
      </w:pPr>
      <w:r>
        <w:rPr>
          <w:b/>
          <w:color w:val="1A1A2E"/>
          <w:sz w:val="22"/>
        </w:rPr>
        <w:t>Limitation 3: No Real-Time Monitoring or Streaming</w:t>
      </w:r>
    </w:p>
    <w:p>
      <w:pPr>
        <w:spacing w:before="0" w:after="100"/>
        <w:jc w:val="both"/>
      </w:pPr>
      <w:r>
        <w:rPr>
          <w:color w:val="1A1A2E"/>
          <w:sz w:val="22"/>
        </w:rPr>
        <w:t>Data-Copilot processes queries on demand. It does not monitor data streams, detect when data changes significantly, or alert users proactively. It is entirely reactive.</w:t>
      </w:r>
    </w:p>
    <w:p>
      <w:r>
        <w:br w:type="page"/>
      </w:r>
    </w:p>
    <w:p>
      <w:pPr>
        <w:spacing w:before="320" w:after="80"/>
        <w:pBdr>
          <w:bottom w:val="single" w:sz="8" w:space="1" w:color="0D47A1"/>
        </w:pBdr>
      </w:pPr>
      <w:r>
        <w:rPr>
          <w:b/>
          <w:color w:val="0D47A1"/>
          <w:sz w:val="32"/>
        </w:rPr>
        <w:t>PAPER 4</w:t>
      </w:r>
    </w:p>
    <w:p>
      <w:pPr>
        <w:spacing w:before="80" w:after="120"/>
        <w:jc w:val="center"/>
      </w:pPr>
      <w:r>
        <w:rPr>
          <w:b/>
          <w:color w:val="0D47A1"/>
          <w:sz w:val="26"/>
        </w:rPr>
        <w:t>Causal-Copilot: An Autonomous Causal Analysis Agent</w:t>
      </w:r>
    </w:p>
    <w:p>
      <w:pPr>
        <w:spacing w:before="200" w:after="60"/>
      </w:pPr>
      <w:r>
        <w:rPr>
          <w:b/>
          <w:color w:val="006E6E"/>
          <w:sz w:val="24"/>
        </w:rPr>
        <w:t>Paper Information</w:t>
      </w:r>
    </w:p>
    <w:tbl>
      <w:tblPr>
        <w:tblStyle w:val="TableGrid"/>
        <w:tblW w:type="auto" w:w="0"/>
        <w:jc w:val="left"/>
        <w:tblLook w:firstColumn="1" w:firstRow="1" w:lastColumn="0" w:lastRow="0" w:noHBand="0" w:noVBand="1" w:val="04A0"/>
      </w:tblPr>
      <w:tblGrid>
        <w:gridCol w:w="4514"/>
        <w:gridCol w:w="4514"/>
      </w:tblGrid>
      <w:tr>
        <w:tc>
          <w:tcPr>
            <w:tcW w:type="dxa" w:w="2448"/>
            <w:shd w:val="clear" w:color="auto" w:fill="0D47A1"/>
          </w:tcPr>
          <w:p>
            <w:r>
              <w:rPr>
                <w:b/>
                <w:color w:val="FFFFFF"/>
                <w:sz w:val="20"/>
              </w:rPr>
              <w:t>Full Title</w:t>
            </w:r>
          </w:p>
        </w:tc>
        <w:tc>
          <w:tcPr>
            <w:tcW w:type="dxa" w:w="7056"/>
            <w:shd w:val="clear" w:color="auto" w:fill="EEF4FF"/>
          </w:tcPr>
          <w:p>
            <w:r>
              <w:rPr>
                <w:color w:val="1A1A2E"/>
                <w:sz w:val="20"/>
              </w:rPr>
              <w:t>Causal-Copilot: An Autonomous Causal Analysis Agent</w:t>
            </w:r>
          </w:p>
        </w:tc>
      </w:tr>
      <w:tr>
        <w:tc>
          <w:tcPr>
            <w:tcW w:type="dxa" w:w="2448"/>
            <w:shd w:val="clear" w:color="auto" w:fill="0D47A1"/>
          </w:tcPr>
          <w:p>
            <w:r>
              <w:rPr>
                <w:b/>
                <w:color w:val="FFFFFF"/>
                <w:sz w:val="20"/>
              </w:rPr>
              <w:t>Authors</w:t>
            </w:r>
          </w:p>
        </w:tc>
        <w:tc>
          <w:tcPr>
            <w:tcW w:type="dxa" w:w="7056"/>
            <w:shd w:val="clear" w:color="auto" w:fill="FFFFFF"/>
          </w:tcPr>
          <w:p>
            <w:r>
              <w:rPr>
                <w:color w:val="1A1A2E"/>
                <w:sz w:val="20"/>
              </w:rPr>
              <w:t>Yuntao Zhang et al.</w:t>
            </w:r>
          </w:p>
        </w:tc>
      </w:tr>
      <w:tr>
        <w:tc>
          <w:tcPr>
            <w:tcW w:type="dxa" w:w="2448"/>
            <w:shd w:val="clear" w:color="auto" w:fill="0D47A1"/>
          </w:tcPr>
          <w:p>
            <w:r>
              <w:rPr>
                <w:b/>
                <w:color w:val="FFFFFF"/>
                <w:sz w:val="20"/>
              </w:rPr>
              <w:t>Published</w:t>
            </w:r>
          </w:p>
        </w:tc>
        <w:tc>
          <w:tcPr>
            <w:tcW w:type="dxa" w:w="7056"/>
            <w:shd w:val="clear" w:color="auto" w:fill="EEF4FF"/>
          </w:tcPr>
          <w:p>
            <w:r>
              <w:rPr>
                <w:color w:val="1A1A2E"/>
                <w:sz w:val="20"/>
              </w:rPr>
              <w:t>arXiv preprint, 2025</w:t>
            </w:r>
          </w:p>
        </w:tc>
      </w:tr>
      <w:tr>
        <w:tc>
          <w:tcPr>
            <w:tcW w:type="dxa" w:w="2448"/>
            <w:shd w:val="clear" w:color="auto" w:fill="0D47A1"/>
          </w:tcPr>
          <w:p>
            <w:r>
              <w:rPr>
                <w:b/>
                <w:color w:val="FFFFFF"/>
                <w:sz w:val="20"/>
              </w:rPr>
              <w:t>Domain</w:t>
            </w:r>
          </w:p>
        </w:tc>
        <w:tc>
          <w:tcPr>
            <w:tcW w:type="dxa" w:w="7056"/>
            <w:shd w:val="clear" w:color="auto" w:fill="FFFFFF"/>
          </w:tcPr>
          <w:p>
            <w:r>
              <w:rPr>
                <w:color w:val="1A1A2E"/>
                <w:sz w:val="20"/>
              </w:rPr>
              <w:t>AI — Causal Discovery — Causal Inference — LLM Agents</w:t>
            </w:r>
          </w:p>
        </w:tc>
      </w:tr>
      <w:tr>
        <w:tc>
          <w:tcPr>
            <w:tcW w:type="dxa" w:w="2448"/>
            <w:shd w:val="clear" w:color="auto" w:fill="0D47A1"/>
          </w:tcPr>
          <w:p>
            <w:r>
              <w:rPr>
                <w:b/>
                <w:color w:val="FFFFFF"/>
                <w:sz w:val="20"/>
              </w:rPr>
              <w:t>Key Feature</w:t>
            </w:r>
          </w:p>
        </w:tc>
        <w:tc>
          <w:tcPr>
            <w:tcW w:type="dxa" w:w="7056"/>
            <w:shd w:val="clear" w:color="auto" w:fill="EEF4FF"/>
          </w:tcPr>
          <w:p>
            <w:r>
              <w:rPr>
                <w:color w:val="1A1A2E"/>
                <w:sz w:val="20"/>
              </w:rPr>
              <w:t>Auto-selection of causal discovery algorithms</w:t>
            </w:r>
          </w:p>
        </w:tc>
      </w:tr>
    </w:tbl>
    <w:p/>
    <w:p>
      <w:pPr>
        <w:spacing w:before="200" w:after="60"/>
      </w:pPr>
      <w:r>
        <w:rPr>
          <w:b/>
          <w:color w:val="006E6E"/>
          <w:sz w:val="24"/>
        </w:rPr>
        <w:t>Detailed Summary</w:t>
      </w:r>
    </w:p>
    <w:p>
      <w:pPr>
        <w:spacing w:before="0" w:after="100"/>
        <w:jc w:val="both"/>
      </w:pPr>
      <w:r>
        <w:rPr>
          <w:color w:val="1A1A2E"/>
          <w:sz w:val="22"/>
        </w:rPr>
        <w:t>Causal-Copilot automates the full causal analysis workflow for users who need to understand cause-effect relationships in their data but lack the expertise to choose appropriate causal algorithms. Different causal discovery methods make different assumptions — linearity, Gaussianity, Markov conditions, faithfulness — and choosing the wrong algorithm for a dataset's characteristics produces incorrect results. Causal-Copilot removes this burden from the user.</w:t>
      </w:r>
    </w:p>
    <w:p>
      <w:pPr>
        <w:spacing w:before="0" w:after="100"/>
        <w:jc w:val="both"/>
      </w:pPr>
      <w:r>
        <w:rPr>
          <w:color w:val="1A1A2E"/>
          <w:sz w:val="22"/>
        </w:rPr>
        <w:t>The system uses an LLM to analyse the characteristics of the input data — variable count, sample size, data type distribution, presence of time lags, estimated edge density — and automatically selects the most appropriate causal discovery and inference algorithms from a library of established methods. It then executes these algorithms, interprets the resulting causal graph, and presents findings in natural language.</w:t>
      </w:r>
    </w:p>
    <w:p>
      <w:pPr>
        <w:spacing w:before="200" w:after="60"/>
      </w:pPr>
      <w:r>
        <w:rPr>
          <w:b/>
          <w:color w:val="006E6E"/>
          <w:sz w:val="24"/>
        </w:rPr>
        <w:t>Key Technical Contributions</w:t>
      </w:r>
    </w:p>
    <w:p>
      <w:pPr>
        <w:spacing w:before="140" w:after="40"/>
      </w:pPr>
      <w:r>
        <w:rPr>
          <w:b/>
          <w:color w:val="1A1A2E"/>
          <w:sz w:val="22"/>
        </w:rPr>
        <w:t>Algorithm Selection Intelligence</w:t>
      </w:r>
    </w:p>
    <w:p>
      <w:pPr>
        <w:spacing w:before="0" w:after="100"/>
        <w:jc w:val="both"/>
      </w:pPr>
      <w:r>
        <w:rPr>
          <w:color w:val="1A1A2E"/>
          <w:sz w:val="22"/>
        </w:rPr>
        <w:t>The core contribution is the decision logic for algorithm selection. The LLM encodes expert knowledge about which causal algorithms are appropriate for which data regimes — PC algorithm for linear Gaussian data with faithfulness, LiNGAM for linear non-Gaussian data, NOTEARS for large variable counts, DYNOTEARS for time series. This expert knowledge is typically acquired through years of practical experience.</w:t>
      </w:r>
    </w:p>
    <w:p>
      <w:pPr>
        <w:spacing w:before="140" w:after="40"/>
      </w:pPr>
      <w:r>
        <w:rPr>
          <w:b/>
          <w:color w:val="1A1A2E"/>
          <w:sz w:val="22"/>
        </w:rPr>
        <w:t>End-to-End Automation</w:t>
      </w:r>
    </w:p>
    <w:p>
      <w:pPr>
        <w:spacing w:before="0" w:after="100"/>
        <w:jc w:val="both"/>
      </w:pPr>
      <w:r>
        <w:rPr>
          <w:color w:val="1A1A2E"/>
          <w:sz w:val="22"/>
        </w:rPr>
        <w:t>The system handles the complete pipeline: data characterisation, algorithm selection, execution, graph interpretation, and natural language reporting. A non-expert user can upload a CSV and receive a causal analysis report without any knowledge of causal discovery methodology.</w:t>
      </w:r>
    </w:p>
    <w:p>
      <w:pPr>
        <w:spacing w:before="200" w:after="60"/>
      </w:pPr>
      <w:r>
        <w:rPr>
          <w:b/>
          <w:color w:val="006E6E"/>
          <w:sz w:val="24"/>
        </w:rPr>
        <w:t>Key Findings</w:t>
      </w:r>
    </w:p>
    <w:p>
      <w:pPr>
        <w:pStyle w:val="ListBullet"/>
        <w:spacing w:before="20" w:after="40"/>
        <w:ind w:left="432"/>
      </w:pPr>
      <w:r>
        <w:rPr>
          <w:color w:val="1A1A2E"/>
          <w:sz w:val="22"/>
        </w:rPr>
        <w:t>Demonstrated robust performance across different variable counts (5 to 100+), sample sizes (100 to 100,000), time lags, and edge densities.</w:t>
      </w:r>
    </w:p>
    <w:p>
      <w:pPr>
        <w:pStyle w:val="ListBullet"/>
        <w:spacing w:before="20" w:after="40"/>
        <w:ind w:left="432"/>
      </w:pPr>
      <w:r>
        <w:rPr>
          <w:color w:val="1A1A2E"/>
          <w:sz w:val="22"/>
        </w:rPr>
        <w:t>Correctly selected algorithms for different data regimes, confirming that the LLM-based selection logic generalises across diverse data characteristics.</w:t>
      </w:r>
    </w:p>
    <w:p>
      <w:pPr>
        <w:pStyle w:val="ListBullet"/>
        <w:spacing w:before="20" w:after="40"/>
        <w:ind w:left="432"/>
      </w:pPr>
      <w:r>
        <w:rPr>
          <w:color w:val="1A1A2E"/>
          <w:sz w:val="22"/>
        </w:rPr>
        <w:t>Reduced the need for domain-specific causal expertise — non-experts could obtain meaningful causal analyses without manual algorithm selection.</w:t>
      </w:r>
    </w:p>
    <w:p>
      <w:pPr>
        <w:spacing w:before="200" w:after="60"/>
      </w:pPr>
      <w:r>
        <w:rPr>
          <w:b/>
          <w:color w:val="006E6E"/>
          <w:sz w:val="24"/>
        </w:rPr>
        <w:t>Limitations and Research Gaps</w:t>
      </w:r>
    </w:p>
    <w:p>
      <w:pPr>
        <w:spacing w:before="140" w:after="40"/>
      </w:pPr>
      <w:r>
        <w:rPr>
          <w:b/>
          <w:color w:val="1A1A2E"/>
          <w:sz w:val="22"/>
        </w:rPr>
        <w:t>Limitation 1: No New Causal Discovery Method</w:t>
      </w:r>
    </w:p>
    <w:p>
      <w:pPr>
        <w:spacing w:before="0" w:after="100"/>
        <w:jc w:val="both"/>
      </w:pPr>
      <w:r>
        <w:rPr>
          <w:color w:val="1A1A2E"/>
          <w:sz w:val="22"/>
        </w:rPr>
        <w:t>Causal-Copilot uses existing published causal algorithms. It contributes an intelligent selection layer but does not advance the state of causal discovery itself. The ceiling on causal graph quality is set by the best available algorithm for the data regime, not by Causal-Copilot's selection logic.</w:t>
      </w:r>
    </w:p>
    <w:p>
      <w:pPr>
        <w:spacing w:before="140" w:after="40"/>
      </w:pPr>
      <w:r>
        <w:rPr>
          <w:b/>
          <w:color w:val="1A1A2E"/>
          <w:sz w:val="22"/>
        </w:rPr>
        <w:t>Limitation 2: Static Datasets Only</w:t>
      </w:r>
    </w:p>
    <w:p>
      <w:pPr>
        <w:spacing w:before="0" w:after="100"/>
        <w:jc w:val="both"/>
      </w:pPr>
      <w:r>
        <w:rPr>
          <w:color w:val="1A1A2E"/>
          <w:sz w:val="22"/>
        </w:rPr>
        <w:t>The system operates on pre-collected static datasets. It cannot perform causal analysis on live streaming data — a critical limitation for business monitoring applications where new data arrives continuously and causal relationships evolve over time.</w:t>
      </w:r>
    </w:p>
    <w:p>
      <w:pPr>
        <w:spacing w:before="140" w:after="40"/>
      </w:pPr>
      <w:r>
        <w:rPr>
          <w:b/>
          <w:color w:val="1A1A2E"/>
          <w:sz w:val="22"/>
        </w:rPr>
        <w:t>Limitation 3: No Integration with Anomaly Detection</w:t>
      </w:r>
    </w:p>
    <w:p>
      <w:pPr>
        <w:spacing w:before="0" w:after="100"/>
        <w:jc w:val="both"/>
      </w:pPr>
      <w:r>
        <w:rPr>
          <w:color w:val="1A1A2E"/>
          <w:sz w:val="22"/>
        </w:rPr>
        <w:t>Causal-Copilot performs causal analysis on data provided by the user. It does not monitor data for anomalies, detect when something unusual has happened, and trigger causal investigation as a response. The system cannot answer 'why did this anomaly occur?' because it does not detect anomalies.</w:t>
      </w:r>
    </w:p>
    <w:p>
      <w:r>
        <w:br w:type="page"/>
      </w:r>
    </w:p>
    <w:p>
      <w:pPr>
        <w:spacing w:before="320" w:after="80"/>
        <w:pBdr>
          <w:bottom w:val="single" w:sz="8" w:space="1" w:color="0D47A1"/>
        </w:pBdr>
      </w:pPr>
      <w:r>
        <w:rPr>
          <w:b/>
          <w:color w:val="0D47A1"/>
          <w:sz w:val="32"/>
        </w:rPr>
        <w:t>PAPER 5</w:t>
      </w:r>
    </w:p>
    <w:p>
      <w:pPr>
        <w:spacing w:before="80" w:after="120"/>
        <w:jc w:val="center"/>
      </w:pPr>
      <w:r>
        <w:rPr>
          <w:b/>
          <w:color w:val="0D47A1"/>
          <w:sz w:val="26"/>
        </w:rPr>
        <w:t>BIRD: A Big Bench for Large-Scale Database Grounded Text-to-SQLs</w:t>
      </w:r>
    </w:p>
    <w:p>
      <w:pPr>
        <w:spacing w:before="200" w:after="60"/>
      </w:pPr>
      <w:r>
        <w:rPr>
          <w:b/>
          <w:color w:val="006E6E"/>
          <w:sz w:val="24"/>
        </w:rPr>
        <w:t>Paper Information</w:t>
      </w:r>
    </w:p>
    <w:tbl>
      <w:tblPr>
        <w:tblStyle w:val="TableGrid"/>
        <w:tblW w:type="auto" w:w="0"/>
        <w:jc w:val="left"/>
        <w:tblLook w:firstColumn="1" w:firstRow="1" w:lastColumn="0" w:lastRow="0" w:noHBand="0" w:noVBand="1" w:val="04A0"/>
      </w:tblPr>
      <w:tblGrid>
        <w:gridCol w:w="4514"/>
        <w:gridCol w:w="4514"/>
      </w:tblGrid>
      <w:tr>
        <w:tc>
          <w:tcPr>
            <w:tcW w:type="dxa" w:w="2448"/>
            <w:shd w:val="clear" w:color="auto" w:fill="0D47A1"/>
          </w:tcPr>
          <w:p>
            <w:r>
              <w:rPr>
                <w:b/>
                <w:color w:val="FFFFFF"/>
                <w:sz w:val="20"/>
              </w:rPr>
              <w:t>Full Title</w:t>
            </w:r>
          </w:p>
        </w:tc>
        <w:tc>
          <w:tcPr>
            <w:tcW w:type="dxa" w:w="7056"/>
            <w:shd w:val="clear" w:color="auto" w:fill="EEF4FF"/>
          </w:tcPr>
          <w:p>
            <w:r>
              <w:rPr>
                <w:color w:val="1A1A2E"/>
                <w:sz w:val="20"/>
              </w:rPr>
              <w:t>Can LLM Already Serve as A Database Interface? A BIg Bench for Large-Scale Database Grounded Text-to-SQLs</w:t>
            </w:r>
          </w:p>
        </w:tc>
      </w:tr>
      <w:tr>
        <w:tc>
          <w:tcPr>
            <w:tcW w:type="dxa" w:w="2448"/>
            <w:shd w:val="clear" w:color="auto" w:fill="0D47A1"/>
          </w:tcPr>
          <w:p>
            <w:r>
              <w:rPr>
                <w:b/>
                <w:color w:val="FFFFFF"/>
                <w:sz w:val="20"/>
              </w:rPr>
              <w:t>Authors</w:t>
            </w:r>
          </w:p>
        </w:tc>
        <w:tc>
          <w:tcPr>
            <w:tcW w:type="dxa" w:w="7056"/>
            <w:shd w:val="clear" w:color="auto" w:fill="FFFFFF"/>
          </w:tcPr>
          <w:p>
            <w:r>
              <w:rPr>
                <w:color w:val="1A1A2E"/>
                <w:sz w:val="20"/>
              </w:rPr>
              <w:t>Jinyang Li, Binyuan Hui, Ge Qu, Jiaxi Yang, Binhua Li, Bowen Li et al.</w:t>
            </w:r>
          </w:p>
        </w:tc>
      </w:tr>
      <w:tr>
        <w:tc>
          <w:tcPr>
            <w:tcW w:type="dxa" w:w="2448"/>
            <w:shd w:val="clear" w:color="auto" w:fill="0D47A1"/>
          </w:tcPr>
          <w:p>
            <w:r>
              <w:rPr>
                <w:b/>
                <w:color w:val="FFFFFF"/>
                <w:sz w:val="20"/>
              </w:rPr>
              <w:t>Affiliation</w:t>
            </w:r>
          </w:p>
        </w:tc>
        <w:tc>
          <w:tcPr>
            <w:tcW w:type="dxa" w:w="7056"/>
            <w:shd w:val="clear" w:color="auto" w:fill="EEF4FF"/>
          </w:tcPr>
          <w:p>
            <w:r>
              <w:rPr>
                <w:color w:val="1A1A2E"/>
                <w:sz w:val="20"/>
              </w:rPr>
              <w:t>Multiple institutions — Alibaba, HKU, NTU</w:t>
            </w:r>
          </w:p>
        </w:tc>
      </w:tr>
      <w:tr>
        <w:tc>
          <w:tcPr>
            <w:tcW w:type="dxa" w:w="2448"/>
            <w:shd w:val="clear" w:color="auto" w:fill="0D47A1"/>
          </w:tcPr>
          <w:p>
            <w:r>
              <w:rPr>
                <w:b/>
                <w:color w:val="FFFFFF"/>
                <w:sz w:val="20"/>
              </w:rPr>
              <w:t>Published</w:t>
            </w:r>
          </w:p>
        </w:tc>
        <w:tc>
          <w:tcPr>
            <w:tcW w:type="dxa" w:w="7056"/>
            <w:shd w:val="clear" w:color="auto" w:fill="FFFFFF"/>
          </w:tcPr>
          <w:p>
            <w:r>
              <w:rPr>
                <w:color w:val="1A1A2E"/>
                <w:sz w:val="20"/>
              </w:rPr>
              <w:t>NeurIPS 2023</w:t>
            </w:r>
          </w:p>
        </w:tc>
      </w:tr>
      <w:tr>
        <w:tc>
          <w:tcPr>
            <w:tcW w:type="dxa" w:w="2448"/>
            <w:shd w:val="clear" w:color="auto" w:fill="0D47A1"/>
          </w:tcPr>
          <w:p>
            <w:r>
              <w:rPr>
                <w:b/>
                <w:color w:val="FFFFFF"/>
                <w:sz w:val="20"/>
              </w:rPr>
              <w:t>arXiv</w:t>
            </w:r>
          </w:p>
        </w:tc>
        <w:tc>
          <w:tcPr>
            <w:tcW w:type="dxa" w:w="7056"/>
            <w:shd w:val="clear" w:color="auto" w:fill="EEF4FF"/>
          </w:tcPr>
          <w:p>
            <w:r>
              <w:rPr>
                <w:color w:val="1A1A2E"/>
                <w:sz w:val="20"/>
              </w:rPr>
              <w:t>arXiv:2305.03111</w:t>
            </w:r>
          </w:p>
        </w:tc>
      </w:tr>
      <w:tr>
        <w:tc>
          <w:tcPr>
            <w:tcW w:type="dxa" w:w="2448"/>
            <w:shd w:val="clear" w:color="auto" w:fill="0D47A1"/>
          </w:tcPr>
          <w:p>
            <w:r>
              <w:rPr>
                <w:b/>
                <w:color w:val="FFFFFF"/>
                <w:sz w:val="20"/>
              </w:rPr>
              <w:t>Year</w:t>
            </w:r>
          </w:p>
        </w:tc>
        <w:tc>
          <w:tcPr>
            <w:tcW w:type="dxa" w:w="7056"/>
            <w:shd w:val="clear" w:color="auto" w:fill="FFFFFF"/>
          </w:tcPr>
          <w:p>
            <w:r>
              <w:rPr>
                <w:color w:val="1A1A2E"/>
                <w:sz w:val="20"/>
              </w:rPr>
              <w:t>2023</w:t>
            </w:r>
          </w:p>
        </w:tc>
      </w:tr>
      <w:tr>
        <w:tc>
          <w:tcPr>
            <w:tcW w:type="dxa" w:w="2448"/>
            <w:shd w:val="clear" w:color="auto" w:fill="0D47A1"/>
          </w:tcPr>
          <w:p>
            <w:r>
              <w:rPr>
                <w:b/>
                <w:color w:val="FFFFFF"/>
                <w:sz w:val="20"/>
              </w:rPr>
              <w:t>Domain</w:t>
            </w:r>
          </w:p>
        </w:tc>
        <w:tc>
          <w:tcPr>
            <w:tcW w:type="dxa" w:w="7056"/>
            <w:shd w:val="clear" w:color="auto" w:fill="EEF4FF"/>
          </w:tcPr>
          <w:p>
            <w:r>
              <w:rPr>
                <w:color w:val="1A1A2E"/>
                <w:sz w:val="20"/>
              </w:rPr>
              <w:t>NLP — Text-to-SQL — Database Interfaces — LLM Benchmarks</w:t>
            </w:r>
          </w:p>
        </w:tc>
      </w:tr>
    </w:tbl>
    <w:p/>
    <w:p>
      <w:pPr>
        <w:spacing w:before="200" w:after="60"/>
      </w:pPr>
      <w:r>
        <w:rPr>
          <w:b/>
          <w:color w:val="006E6E"/>
          <w:sz w:val="24"/>
        </w:rPr>
        <w:t>Detailed Summary</w:t>
      </w:r>
    </w:p>
    <w:p>
      <w:pPr>
        <w:spacing w:before="0" w:after="100"/>
        <w:jc w:val="both"/>
      </w:pPr>
      <w:r>
        <w:rPr>
          <w:color w:val="1A1A2E"/>
          <w:sz w:val="22"/>
        </w:rPr>
        <w:t>BIRD (Big Bench for Realistic Database) was created to address a critical gap between academic Text-to-SQL benchmarks and real-world database interfaces. The dominant benchmark at the time — Spider (2018) — used clean, small databases with well-documented schemas. Real enterprise databases have millions of rows, dirty values, inconsistent naming, and require external domain knowledge to query correctly.</w:t>
      </w:r>
    </w:p>
    <w:p>
      <w:pPr>
        <w:spacing w:before="0" w:after="100"/>
        <w:jc w:val="both"/>
      </w:pPr>
      <w:r>
        <w:rPr>
          <w:color w:val="1A1A2E"/>
          <w:sz w:val="22"/>
        </w:rPr>
        <w:t>BIRD introduces 12,751 question-SQL pairs across 95 databases totalling 33.4 GB of data, spanning 37 professional domains including finance, healthcare, sports, government, and e-commerce. The benchmark requires models to handle three new challenges: dirty database values (nulls, inconsistent formats, typos), external knowledge (the question uses domain terms not present in schema names), and SQL efficiency (queries that run in reasonable time on large tables).</w:t>
      </w:r>
    </w:p>
    <w:p>
      <w:pPr>
        <w:spacing w:before="200" w:after="60"/>
      </w:pPr>
      <w:r>
        <w:rPr>
          <w:b/>
          <w:color w:val="006E6E"/>
          <w:sz w:val="24"/>
        </w:rPr>
        <w:t>Key Technical Contributions</w:t>
      </w:r>
    </w:p>
    <w:p>
      <w:pPr>
        <w:spacing w:before="140" w:after="40"/>
      </w:pPr>
      <w:r>
        <w:rPr>
          <w:b/>
          <w:color w:val="1A1A2E"/>
          <w:sz w:val="22"/>
        </w:rPr>
        <w:t>Realistic Database Scale</w:t>
      </w:r>
    </w:p>
    <w:p>
      <w:pPr>
        <w:spacing w:before="0" w:after="100"/>
        <w:jc w:val="both"/>
      </w:pPr>
      <w:r>
        <w:rPr>
          <w:color w:val="1A1A2E"/>
          <w:sz w:val="22"/>
        </w:rPr>
        <w:t>Previous benchmarks used databases with hundreds of rows. BIRD databases range from thousands to millions of rows, reflecting real enterprise data. This changes the difficulty significantly — SQL that works on toy data may time out or produce wrong results on large tables.</w:t>
      </w:r>
    </w:p>
    <w:p>
      <w:pPr>
        <w:spacing w:before="140" w:after="40"/>
      </w:pPr>
      <w:r>
        <w:rPr>
          <w:b/>
          <w:color w:val="1A1A2E"/>
          <w:sz w:val="22"/>
        </w:rPr>
        <w:t>External Knowledge Requirement</w:t>
      </w:r>
    </w:p>
    <w:p>
      <w:pPr>
        <w:spacing w:before="0" w:after="100"/>
        <w:jc w:val="both"/>
      </w:pPr>
      <w:r>
        <w:rPr>
          <w:color w:val="1A1A2E"/>
          <w:sz w:val="22"/>
        </w:rPr>
        <w:t>Many BIRD questions require domain knowledge that is not encoded in schema names. For example, 'Find all stores with above-average conversion' requires knowing that conversion = orders/visits, which is domain knowledge, not database knowledge. Models must integrate external knowledge with schema understanding.</w:t>
      </w:r>
    </w:p>
    <w:p>
      <w:pPr>
        <w:spacing w:before="140" w:after="40"/>
      </w:pPr>
      <w:r>
        <w:rPr>
          <w:b/>
          <w:color w:val="1A1A2E"/>
          <w:sz w:val="22"/>
        </w:rPr>
        <w:t>Efficiency Annotation</w:t>
      </w:r>
    </w:p>
    <w:p>
      <w:pPr>
        <w:spacing w:before="0" w:after="100"/>
        <w:jc w:val="both"/>
      </w:pPr>
      <w:r>
        <w:rPr>
          <w:color w:val="1A1A2E"/>
          <w:sz w:val="22"/>
        </w:rPr>
        <w:t>BIRD annotates queries for execution efficiency, measuring whether models generate optimised SQL rather than semantically correct but computationally expensive queries.</w:t>
      </w:r>
    </w:p>
    <w:p>
      <w:pPr>
        <w:spacing w:before="200" w:after="60"/>
      </w:pPr>
      <w:r>
        <w:rPr>
          <w:b/>
          <w:color w:val="006E6E"/>
          <w:sz w:val="24"/>
        </w:rPr>
        <w:t>Key Findings</w:t>
      </w:r>
    </w:p>
    <w:p>
      <w:pPr>
        <w:pStyle w:val="ListBullet"/>
        <w:spacing w:before="20" w:after="40"/>
        <w:ind w:left="432"/>
      </w:pPr>
      <w:r>
        <w:rPr>
          <w:color w:val="1A1A2E"/>
          <w:sz w:val="22"/>
        </w:rPr>
        <w:t>ChatGPT achieves only 40.08% execution accuracy on BIRD, compared to 92.96% human performance — confirming that real-world Text-to-SQL remains unsolved despite impressive performance on Spider.</w:t>
      </w:r>
    </w:p>
    <w:p>
      <w:pPr>
        <w:pStyle w:val="ListBullet"/>
        <w:spacing w:before="20" w:after="40"/>
        <w:ind w:left="432"/>
      </w:pPr>
      <w:r>
        <w:rPr>
          <w:color w:val="1A1A2E"/>
          <w:sz w:val="22"/>
        </w:rPr>
        <w:t>The gap between Spider performance and BIRD performance is large for all models — demonstrating that academic benchmarks severely overestimate practical NL2SQL capabilities.</w:t>
      </w:r>
    </w:p>
    <w:p>
      <w:pPr>
        <w:pStyle w:val="ListBullet"/>
        <w:spacing w:before="20" w:after="40"/>
        <w:ind w:left="432"/>
      </w:pPr>
      <w:r>
        <w:rPr>
          <w:color w:val="1A1A2E"/>
          <w:sz w:val="22"/>
        </w:rPr>
        <w:t>Dirty data values cause significant drops in accuracy even for strong models, confirming that real-world robustness is a separate challenge from schema understanding.</w:t>
      </w:r>
    </w:p>
    <w:p>
      <w:pPr>
        <w:spacing w:before="200" w:after="60"/>
      </w:pPr>
      <w:r>
        <w:rPr>
          <w:b/>
          <w:color w:val="006E6E"/>
          <w:sz w:val="24"/>
        </w:rPr>
        <w:t>Limitations and Research Gaps</w:t>
      </w:r>
    </w:p>
    <w:p>
      <w:pPr>
        <w:spacing w:before="140" w:after="40"/>
      </w:pPr>
      <w:r>
        <w:rPr>
          <w:b/>
          <w:color w:val="1A1A2E"/>
          <w:sz w:val="22"/>
        </w:rPr>
        <w:t>Limitation 1: English Only</w:t>
      </w:r>
    </w:p>
    <w:p>
      <w:pPr>
        <w:spacing w:before="0" w:after="100"/>
        <w:jc w:val="both"/>
      </w:pPr>
      <w:r>
        <w:rPr>
          <w:color w:val="1A1A2E"/>
          <w:sz w:val="22"/>
        </w:rPr>
        <w:t>All questions and schemas in BIRD are in English. Enterprise databases worldwide use varied naming conventions, local terminology, and non-English schemas. A truly general Text-to-SQL system must handle multilingual inputs and schemas.</w:t>
      </w:r>
    </w:p>
    <w:p>
      <w:pPr>
        <w:spacing w:before="140" w:after="40"/>
      </w:pPr>
      <w:r>
        <w:rPr>
          <w:b/>
          <w:color w:val="1A1A2E"/>
          <w:sz w:val="22"/>
        </w:rPr>
        <w:t>Limitation 2: Static Evaluation</w:t>
      </w:r>
    </w:p>
    <w:p>
      <w:pPr>
        <w:spacing w:before="0" w:after="100"/>
        <w:jc w:val="both"/>
      </w:pPr>
      <w:r>
        <w:rPr>
          <w:color w:val="1A1A2E"/>
          <w:sz w:val="22"/>
        </w:rPr>
        <w:t>BIRD is a static benchmark — it evaluates a model on a fixed set of questions at a single point in time. It does not evaluate the ability to handle evolving schemas, new table additions, or changing data distributions, which are common in production database environments.</w:t>
      </w:r>
    </w:p>
    <w:p>
      <w:r>
        <w:br w:type="page"/>
      </w:r>
    </w:p>
    <w:p>
      <w:pPr>
        <w:spacing w:before="320" w:after="80"/>
        <w:pBdr>
          <w:bottom w:val="single" w:sz="8" w:space="1" w:color="0D47A1"/>
        </w:pBdr>
      </w:pPr>
      <w:r>
        <w:rPr>
          <w:b/>
          <w:color w:val="0D47A1"/>
          <w:sz w:val="32"/>
        </w:rPr>
        <w:t>PAPER 6</w:t>
      </w:r>
    </w:p>
    <w:p>
      <w:pPr>
        <w:spacing w:before="80" w:after="120"/>
        <w:jc w:val="center"/>
      </w:pPr>
      <w:r>
        <w:rPr>
          <w:b/>
          <w:color w:val="0D47A1"/>
          <w:sz w:val="26"/>
        </w:rPr>
        <w:t>RCAgent: Cloud Root Cause Analysis by Autonomous Agents with Tool-Augmented LLMs</w:t>
      </w:r>
    </w:p>
    <w:p>
      <w:pPr>
        <w:spacing w:before="200" w:after="60"/>
      </w:pPr>
      <w:r>
        <w:rPr>
          <w:b/>
          <w:color w:val="006E6E"/>
          <w:sz w:val="24"/>
        </w:rPr>
        <w:t>Paper Information</w:t>
      </w:r>
    </w:p>
    <w:tbl>
      <w:tblPr>
        <w:tblStyle w:val="TableGrid"/>
        <w:tblW w:type="auto" w:w="0"/>
        <w:jc w:val="left"/>
        <w:tblLook w:firstColumn="1" w:firstRow="1" w:lastColumn="0" w:lastRow="0" w:noHBand="0" w:noVBand="1" w:val="04A0"/>
      </w:tblPr>
      <w:tblGrid>
        <w:gridCol w:w="4514"/>
        <w:gridCol w:w="4514"/>
      </w:tblGrid>
      <w:tr>
        <w:tc>
          <w:tcPr>
            <w:tcW w:type="dxa" w:w="2448"/>
            <w:shd w:val="clear" w:color="auto" w:fill="0D47A1"/>
          </w:tcPr>
          <w:p>
            <w:r>
              <w:rPr>
                <w:b/>
                <w:color w:val="FFFFFF"/>
                <w:sz w:val="20"/>
              </w:rPr>
              <w:t>Full Title</w:t>
            </w:r>
          </w:p>
        </w:tc>
        <w:tc>
          <w:tcPr>
            <w:tcW w:type="dxa" w:w="7056"/>
            <w:shd w:val="clear" w:color="auto" w:fill="EEF4FF"/>
          </w:tcPr>
          <w:p>
            <w:r>
              <w:rPr>
                <w:color w:val="1A1A2E"/>
                <w:sz w:val="20"/>
              </w:rPr>
              <w:t>RCAgent: Cloud Root Cause Analysis by Autonomous Agents with Tool-Augmented Large Language Models</w:t>
            </w:r>
          </w:p>
        </w:tc>
      </w:tr>
      <w:tr>
        <w:tc>
          <w:tcPr>
            <w:tcW w:type="dxa" w:w="2448"/>
            <w:shd w:val="clear" w:color="auto" w:fill="0D47A1"/>
          </w:tcPr>
          <w:p>
            <w:r>
              <w:rPr>
                <w:b/>
                <w:color w:val="FFFFFF"/>
                <w:sz w:val="20"/>
              </w:rPr>
              <w:t>Authors</w:t>
            </w:r>
          </w:p>
        </w:tc>
        <w:tc>
          <w:tcPr>
            <w:tcW w:type="dxa" w:w="7056"/>
            <w:shd w:val="clear" w:color="auto" w:fill="FFFFFF"/>
          </w:tcPr>
          <w:p>
            <w:r>
              <w:rPr>
                <w:color w:val="1A1A2E"/>
                <w:sz w:val="20"/>
              </w:rPr>
              <w:t>Zefan Wang, Zichuan Liu, Yingying Zhang, Aoxiao Zhong, Jihong Wang, Fengbin Yin, Lunting Fan, Lingfei Wu, Qingsong Wen</w:t>
            </w:r>
          </w:p>
        </w:tc>
      </w:tr>
      <w:tr>
        <w:tc>
          <w:tcPr>
            <w:tcW w:type="dxa" w:w="2448"/>
            <w:shd w:val="clear" w:color="auto" w:fill="0D47A1"/>
          </w:tcPr>
          <w:p>
            <w:r>
              <w:rPr>
                <w:b/>
                <w:color w:val="FFFFFF"/>
                <w:sz w:val="20"/>
              </w:rPr>
              <w:t>Affiliation</w:t>
            </w:r>
          </w:p>
        </w:tc>
        <w:tc>
          <w:tcPr>
            <w:tcW w:type="dxa" w:w="7056"/>
            <w:shd w:val="clear" w:color="auto" w:fill="EEF4FF"/>
          </w:tcPr>
          <w:p>
            <w:r>
              <w:rPr>
                <w:color w:val="1A1A2E"/>
                <w:sz w:val="20"/>
              </w:rPr>
              <w:t>Alibaba Cloud + Squirrel AI</w:t>
            </w:r>
          </w:p>
        </w:tc>
      </w:tr>
      <w:tr>
        <w:tc>
          <w:tcPr>
            <w:tcW w:type="dxa" w:w="2448"/>
            <w:shd w:val="clear" w:color="auto" w:fill="0D47A1"/>
          </w:tcPr>
          <w:p>
            <w:r>
              <w:rPr>
                <w:b/>
                <w:color w:val="FFFFFF"/>
                <w:sz w:val="20"/>
              </w:rPr>
              <w:t>Published</w:t>
            </w:r>
          </w:p>
        </w:tc>
        <w:tc>
          <w:tcPr>
            <w:tcW w:type="dxa" w:w="7056"/>
            <w:shd w:val="clear" w:color="auto" w:fill="FFFFFF"/>
          </w:tcPr>
          <w:p>
            <w:r>
              <w:rPr>
                <w:color w:val="1A1A2E"/>
                <w:sz w:val="20"/>
              </w:rPr>
              <w:t>CIKM 2024 — ACM International Conference on Information and Knowledge Management</w:t>
            </w:r>
          </w:p>
        </w:tc>
      </w:tr>
      <w:tr>
        <w:tc>
          <w:tcPr>
            <w:tcW w:type="dxa" w:w="2448"/>
            <w:shd w:val="clear" w:color="auto" w:fill="0D47A1"/>
          </w:tcPr>
          <w:p>
            <w:r>
              <w:rPr>
                <w:b/>
                <w:color w:val="FFFFFF"/>
                <w:sz w:val="20"/>
              </w:rPr>
              <w:t>arXiv</w:t>
            </w:r>
          </w:p>
        </w:tc>
        <w:tc>
          <w:tcPr>
            <w:tcW w:type="dxa" w:w="7056"/>
            <w:shd w:val="clear" w:color="auto" w:fill="EEF4FF"/>
          </w:tcPr>
          <w:p>
            <w:r>
              <w:rPr>
                <w:color w:val="1A1A2E"/>
                <w:sz w:val="20"/>
              </w:rPr>
              <w:t>arXiv:2310.16340</w:t>
            </w:r>
          </w:p>
        </w:tc>
      </w:tr>
      <w:tr>
        <w:tc>
          <w:tcPr>
            <w:tcW w:type="dxa" w:w="2448"/>
            <w:shd w:val="clear" w:color="auto" w:fill="0D47A1"/>
          </w:tcPr>
          <w:p>
            <w:r>
              <w:rPr>
                <w:b/>
                <w:color w:val="FFFFFF"/>
                <w:sz w:val="20"/>
              </w:rPr>
              <w:t>Year</w:t>
            </w:r>
          </w:p>
        </w:tc>
        <w:tc>
          <w:tcPr>
            <w:tcW w:type="dxa" w:w="7056"/>
            <w:shd w:val="clear" w:color="auto" w:fill="FFFFFF"/>
          </w:tcPr>
          <w:p>
            <w:r>
              <w:rPr>
                <w:color w:val="1A1A2E"/>
                <w:sz w:val="20"/>
              </w:rPr>
              <w:t>2024</w:t>
            </w:r>
          </w:p>
        </w:tc>
      </w:tr>
      <w:tr>
        <w:tc>
          <w:tcPr>
            <w:tcW w:type="dxa" w:w="2448"/>
            <w:shd w:val="clear" w:color="auto" w:fill="0D47A1"/>
          </w:tcPr>
          <w:p>
            <w:r>
              <w:rPr>
                <w:b/>
                <w:color w:val="FFFFFF"/>
                <w:sz w:val="20"/>
              </w:rPr>
              <w:t>Domain</w:t>
            </w:r>
          </w:p>
        </w:tc>
        <w:tc>
          <w:tcPr>
            <w:tcW w:type="dxa" w:w="7056"/>
            <w:shd w:val="clear" w:color="auto" w:fill="EEF4FF"/>
          </w:tcPr>
          <w:p>
            <w:r>
              <w:rPr>
                <w:color w:val="1A1A2E"/>
                <w:sz w:val="20"/>
              </w:rPr>
              <w:t>AIOps — Cloud Systems — Root Cause Analysis — LLM Agents</w:t>
            </w:r>
          </w:p>
        </w:tc>
      </w:tr>
    </w:tbl>
    <w:p/>
    <w:p>
      <w:pPr>
        <w:spacing w:before="200" w:after="60"/>
      </w:pPr>
      <w:r>
        <w:rPr>
          <w:b/>
          <w:color w:val="006E6E"/>
          <w:sz w:val="24"/>
        </w:rPr>
        <w:t>Detailed Summary</w:t>
      </w:r>
    </w:p>
    <w:p>
      <w:pPr>
        <w:spacing w:before="0" w:after="100"/>
        <w:jc w:val="both"/>
      </w:pPr>
      <w:r>
        <w:rPr>
          <w:color w:val="1A1A2E"/>
          <w:sz w:val="22"/>
        </w:rPr>
        <w:t>RCAgent addresses the automation of root cause analysis for cloud platform incidents — the process of determining why a distributed system failure occurred. In large cloud environments like Alibaba Cloud, thousands of microservices interact, and a single incident may involve failures cascading across dozens of services. Manual RCA by on-call engineers is time-consuming, error-prone, and requires deep system knowledge.</w:t>
      </w:r>
    </w:p>
    <w:p>
      <w:pPr>
        <w:spacing w:before="0" w:after="100"/>
        <w:jc w:val="both"/>
      </w:pPr>
      <w:r>
        <w:rPr>
          <w:color w:val="1A1A2E"/>
          <w:sz w:val="22"/>
        </w:rPr>
        <w:t>RCAgent runs on an internally deployed LLM (not GPT) for privacy reasons, which is a practical innovation for enterprise deployment. The agent uses a suite of diagnostic tools — log analysers, metric query APIs, dependency graph traversal, alert correlation systems — to collect evidence and reason toward a root cause.</w:t>
      </w:r>
    </w:p>
    <w:p>
      <w:pPr>
        <w:spacing w:before="0" w:after="100"/>
        <w:jc w:val="both"/>
      </w:pPr>
      <w:r>
        <w:rPr>
          <w:color w:val="1A1A2E"/>
          <w:sz w:val="22"/>
        </w:rPr>
        <w:t>A key innovation is Self-Consistency for action trajectories: multiple independent reasoning chains are generated, and the most consistent conclusion across chains is selected. This reduces the variability of individual LLM outputs and improves reliability in high-stakes production environments.</w:t>
      </w:r>
    </w:p>
    <w:p>
      <w:pPr>
        <w:spacing w:before="200" w:after="60"/>
      </w:pPr>
      <w:r>
        <w:rPr>
          <w:b/>
          <w:color w:val="006E6E"/>
          <w:sz w:val="24"/>
        </w:rPr>
        <w:t>Key Technical Contributions</w:t>
      </w:r>
    </w:p>
    <w:p>
      <w:pPr>
        <w:spacing w:before="140" w:after="40"/>
      </w:pPr>
      <w:r>
        <w:rPr>
          <w:b/>
          <w:color w:val="1A1A2E"/>
          <w:sz w:val="22"/>
        </w:rPr>
        <w:t>Self-Consistency for Action Trajectories</w:t>
      </w:r>
    </w:p>
    <w:p>
      <w:pPr>
        <w:spacing w:before="0" w:after="100"/>
        <w:jc w:val="both"/>
      </w:pPr>
      <w:r>
        <w:rPr>
          <w:color w:val="1A1A2E"/>
          <w:sz w:val="22"/>
        </w:rPr>
        <w:t>Self-consistency was originally proposed for improving QA accuracy by sampling multiple reasoning chains and taking a majority vote. RCAgent extends this to tool-augmented agent trajectories — multiple agents independently execute diagnostic workflows, and the most consistent finding across agents is selected as the root cause. This significantly reduces the impact of any single agent's reasoning error.</w:t>
      </w:r>
    </w:p>
    <w:p>
      <w:pPr>
        <w:spacing w:before="140" w:after="40"/>
      </w:pPr>
      <w:r>
        <w:rPr>
          <w:b/>
          <w:color w:val="1A1A2E"/>
          <w:sz w:val="22"/>
        </w:rPr>
        <w:t>Context Management for Long Incidents</w:t>
      </w:r>
    </w:p>
    <w:p>
      <w:pPr>
        <w:spacing w:before="0" w:after="100"/>
        <w:jc w:val="both"/>
      </w:pPr>
      <w:r>
        <w:rPr>
          <w:color w:val="1A1A2E"/>
          <w:sz w:val="22"/>
        </w:rPr>
        <w:t>Cloud incidents produce massive amounts of logs, metrics, and alerts. RCAgent implements context compression and prioritisation — summarising historical observations, filtering irrelevant tool outputs, and maintaining a structured incident state — to stay within LLM context limits while preserving diagnostic-relevant information.</w:t>
      </w:r>
    </w:p>
    <w:p>
      <w:pPr>
        <w:spacing w:before="140" w:after="40"/>
      </w:pPr>
      <w:r>
        <w:rPr>
          <w:b/>
          <w:color w:val="1A1A2E"/>
          <w:sz w:val="22"/>
        </w:rPr>
        <w:t>Domain Knowledge Integration</w:t>
      </w:r>
    </w:p>
    <w:p>
      <w:pPr>
        <w:spacing w:before="0" w:after="100"/>
        <w:jc w:val="both"/>
      </w:pPr>
      <w:r>
        <w:rPr>
          <w:color w:val="1A1A2E"/>
          <w:sz w:val="22"/>
        </w:rPr>
        <w:t>The system imports knowledge about service dependencies, common failure modes, and historical incident patterns as structured context. This domain knowledge acts as a soft prior, guiding the agent toward relevant diagnostic hypotheses before tool calls.</w:t>
      </w:r>
    </w:p>
    <w:p>
      <w:pPr>
        <w:spacing w:before="200" w:after="60"/>
      </w:pPr>
      <w:r>
        <w:rPr>
          <w:b/>
          <w:color w:val="006E6E"/>
          <w:sz w:val="24"/>
        </w:rPr>
        <w:t>Key Findings</w:t>
      </w:r>
    </w:p>
    <w:p>
      <w:pPr>
        <w:pStyle w:val="ListBullet"/>
        <w:spacing w:before="20" w:after="40"/>
        <w:ind w:left="432"/>
      </w:pPr>
      <w:r>
        <w:rPr>
          <w:color w:val="1A1A2E"/>
          <w:sz w:val="22"/>
        </w:rPr>
        <w:t>RCAgent outperforms ReAct across all four aspects of RCA: predicting root causes, solutions, evidence, and responsibilities.</w:t>
      </w:r>
    </w:p>
    <w:p>
      <w:pPr>
        <w:pStyle w:val="ListBullet"/>
        <w:spacing w:before="20" w:after="40"/>
        <w:ind w:left="432"/>
      </w:pPr>
      <w:r>
        <w:rPr>
          <w:color w:val="1A1A2E"/>
          <w:sz w:val="22"/>
        </w:rPr>
        <w:t>Self-Consistency for trajectories significantly improves reliability compared to single-trajectory agents.</w:t>
      </w:r>
    </w:p>
    <w:p>
      <w:pPr>
        <w:pStyle w:val="ListBullet"/>
        <w:spacing w:before="20" w:after="40"/>
        <w:ind w:left="432"/>
      </w:pPr>
      <w:r>
        <w:rPr>
          <w:color w:val="1A1A2E"/>
          <w:sz w:val="22"/>
        </w:rPr>
        <w:t>Successfully deployed in the Real-time Compute Platform for Apache Flink of Alibaba Cloud, demonstrating production viability.</w:t>
      </w:r>
    </w:p>
    <w:p>
      <w:pPr>
        <w:pStyle w:val="ListBullet"/>
        <w:spacing w:before="20" w:after="40"/>
        <w:ind w:left="432"/>
      </w:pPr>
      <w:r>
        <w:rPr>
          <w:color w:val="1A1A2E"/>
          <w:sz w:val="22"/>
        </w:rPr>
        <w:t>Outperforms rule-based RCA systems on incidents not covered by existing rules — demonstrating generalisation beyond known failure patterns.</w:t>
      </w:r>
    </w:p>
    <w:p>
      <w:pPr>
        <w:spacing w:before="200" w:after="60"/>
      </w:pPr>
      <w:r>
        <w:rPr>
          <w:b/>
          <w:color w:val="006E6E"/>
          <w:sz w:val="24"/>
        </w:rPr>
        <w:t>Limitations and Research Gaps</w:t>
      </w:r>
    </w:p>
    <w:p>
      <w:pPr>
        <w:spacing w:before="140" w:after="40"/>
      </w:pPr>
      <w:r>
        <w:rPr>
          <w:b/>
          <w:color w:val="1A1A2E"/>
          <w:sz w:val="22"/>
        </w:rPr>
        <w:t>Limitation 1: IT Infrastructure Only — No Business KPIs</w:t>
      </w:r>
    </w:p>
    <w:p>
      <w:pPr>
        <w:spacing w:before="0" w:after="100"/>
        <w:jc w:val="both"/>
      </w:pPr>
      <w:r>
        <w:rPr>
          <w:color w:val="1A1A2E"/>
          <w:sz w:val="22"/>
        </w:rPr>
        <w:t>RCAgent performs root cause analysis on cloud infrastructure failures — service latency, error rates, CPU spikes. It does not analyse business metric anomalies — revenue drops, conversion declines, churn spikes. The tool set, domain knowledge, and evaluation methodology are all specific to cloud operations.</w:t>
      </w:r>
    </w:p>
    <w:p>
      <w:pPr>
        <w:spacing w:before="140" w:after="40"/>
      </w:pPr>
      <w:r>
        <w:rPr>
          <w:b/>
          <w:color w:val="1A1A2E"/>
          <w:sz w:val="22"/>
        </w:rPr>
        <w:t>Limitation 2: Reactive — Requires Incident Report</w:t>
      </w:r>
    </w:p>
    <w:p>
      <w:pPr>
        <w:spacing w:before="0" w:after="100"/>
        <w:jc w:val="both"/>
      </w:pPr>
      <w:r>
        <w:rPr>
          <w:color w:val="1A1A2E"/>
          <w:sz w:val="22"/>
        </w:rPr>
        <w:t>RCAgent is triggered by an incident report submitted by an engineer or monitoring system. It does not continuously monitor business data or proactively detect when an anomaly has begun — it waits for a human to notice a problem and file a ticket.</w:t>
      </w:r>
    </w:p>
    <w:p>
      <w:r>
        <w:br w:type="page"/>
      </w:r>
    </w:p>
    <w:p>
      <w:pPr>
        <w:spacing w:before="320" w:after="80"/>
        <w:pBdr>
          <w:bottom w:val="single" w:sz="8" w:space="1" w:color="0D47A1"/>
        </w:pBdr>
      </w:pPr>
      <w:r>
        <w:rPr>
          <w:b/>
          <w:color w:val="0D47A1"/>
          <w:sz w:val="32"/>
        </w:rPr>
        <w:t>PAPER 7</w:t>
      </w:r>
    </w:p>
    <w:p>
      <w:pPr>
        <w:spacing w:before="80" w:after="120"/>
        <w:jc w:val="center"/>
      </w:pPr>
      <w:r>
        <w:rPr>
          <w:b/>
          <w:color w:val="0D47A1"/>
          <w:sz w:val="26"/>
        </w:rPr>
        <w:t>Exploring LLM-based Agents for Root Cause Analysis</w:t>
      </w:r>
    </w:p>
    <w:p>
      <w:pPr>
        <w:spacing w:before="200" w:after="60"/>
      </w:pPr>
      <w:r>
        <w:rPr>
          <w:b/>
          <w:color w:val="006E6E"/>
          <w:sz w:val="24"/>
        </w:rPr>
        <w:t>Paper Information</w:t>
      </w:r>
    </w:p>
    <w:tbl>
      <w:tblPr>
        <w:tblStyle w:val="TableGrid"/>
        <w:tblW w:type="auto" w:w="0"/>
        <w:jc w:val="left"/>
        <w:tblLook w:firstColumn="1" w:firstRow="1" w:lastColumn="0" w:lastRow="0" w:noHBand="0" w:noVBand="1" w:val="04A0"/>
      </w:tblPr>
      <w:tblGrid>
        <w:gridCol w:w="4514"/>
        <w:gridCol w:w="4514"/>
      </w:tblGrid>
      <w:tr>
        <w:tc>
          <w:tcPr>
            <w:tcW w:type="dxa" w:w="2448"/>
            <w:shd w:val="clear" w:color="auto" w:fill="0D47A1"/>
          </w:tcPr>
          <w:p>
            <w:r>
              <w:rPr>
                <w:b/>
                <w:color w:val="FFFFFF"/>
                <w:sz w:val="20"/>
              </w:rPr>
              <w:t>Full Title</w:t>
            </w:r>
          </w:p>
        </w:tc>
        <w:tc>
          <w:tcPr>
            <w:tcW w:type="dxa" w:w="7056"/>
            <w:shd w:val="clear" w:color="auto" w:fill="EEF4FF"/>
          </w:tcPr>
          <w:p>
            <w:r>
              <w:rPr>
                <w:color w:val="1A1A2E"/>
                <w:sz w:val="20"/>
              </w:rPr>
              <w:t>Exploring LLM-based Agents for Root Cause Analysis</w:t>
            </w:r>
          </w:p>
        </w:tc>
      </w:tr>
      <w:tr>
        <w:tc>
          <w:tcPr>
            <w:tcW w:type="dxa" w:w="2448"/>
            <w:shd w:val="clear" w:color="auto" w:fill="0D47A1"/>
          </w:tcPr>
          <w:p>
            <w:r>
              <w:rPr>
                <w:b/>
                <w:color w:val="FFFFFF"/>
                <w:sz w:val="20"/>
              </w:rPr>
              <w:t>Authors</w:t>
            </w:r>
          </w:p>
        </w:tc>
        <w:tc>
          <w:tcPr>
            <w:tcW w:type="dxa" w:w="7056"/>
            <w:shd w:val="clear" w:color="auto" w:fill="FFFFFF"/>
          </w:tcPr>
          <w:p>
            <w:r>
              <w:rPr>
                <w:color w:val="1A1A2E"/>
                <w:sz w:val="20"/>
              </w:rPr>
              <w:t>Devjeet Roy, Xuchao Zhang, Rashi Bhave, Chetan Bansal, Pedro Las-Casas, Rodrigo Fonseca, Saravan Rajmohan</w:t>
            </w:r>
          </w:p>
        </w:tc>
      </w:tr>
      <w:tr>
        <w:tc>
          <w:tcPr>
            <w:tcW w:type="dxa" w:w="2448"/>
            <w:shd w:val="clear" w:color="auto" w:fill="0D47A1"/>
          </w:tcPr>
          <w:p>
            <w:r>
              <w:rPr>
                <w:b/>
                <w:color w:val="FFFFFF"/>
                <w:sz w:val="20"/>
              </w:rPr>
              <w:t>Affiliation</w:t>
            </w:r>
          </w:p>
        </w:tc>
        <w:tc>
          <w:tcPr>
            <w:tcW w:type="dxa" w:w="7056"/>
            <w:shd w:val="clear" w:color="auto" w:fill="EEF4FF"/>
          </w:tcPr>
          <w:p>
            <w:r>
              <w:rPr>
                <w:color w:val="1A1A2E"/>
                <w:sz w:val="20"/>
              </w:rPr>
              <w:t>Microsoft Research — Azure Monitoring Team</w:t>
            </w:r>
          </w:p>
        </w:tc>
      </w:tr>
      <w:tr>
        <w:tc>
          <w:tcPr>
            <w:tcW w:type="dxa" w:w="2448"/>
            <w:shd w:val="clear" w:color="auto" w:fill="0D47A1"/>
          </w:tcPr>
          <w:p>
            <w:r>
              <w:rPr>
                <w:b/>
                <w:color w:val="FFFFFF"/>
                <w:sz w:val="20"/>
              </w:rPr>
              <w:t>Published</w:t>
            </w:r>
          </w:p>
        </w:tc>
        <w:tc>
          <w:tcPr>
            <w:tcW w:type="dxa" w:w="7056"/>
            <w:shd w:val="clear" w:color="auto" w:fill="FFFFFF"/>
          </w:tcPr>
          <w:p>
            <w:r>
              <w:rPr>
                <w:color w:val="1A1A2E"/>
                <w:sz w:val="20"/>
              </w:rPr>
              <w:t>arXiv:2403.04123 — March 2024</w:t>
            </w:r>
          </w:p>
        </w:tc>
      </w:tr>
      <w:tr>
        <w:tc>
          <w:tcPr>
            <w:tcW w:type="dxa" w:w="2448"/>
            <w:shd w:val="clear" w:color="auto" w:fill="0D47A1"/>
          </w:tcPr>
          <w:p>
            <w:r>
              <w:rPr>
                <w:b/>
                <w:color w:val="FFFFFF"/>
                <w:sz w:val="20"/>
              </w:rPr>
              <w:t>arXiv</w:t>
            </w:r>
          </w:p>
        </w:tc>
        <w:tc>
          <w:tcPr>
            <w:tcW w:type="dxa" w:w="7056"/>
            <w:shd w:val="clear" w:color="auto" w:fill="EEF4FF"/>
          </w:tcPr>
          <w:p>
            <w:r>
              <w:rPr>
                <w:color w:val="1A1A2E"/>
                <w:sz w:val="20"/>
              </w:rPr>
              <w:t>arXiv:2403.04123</w:t>
            </w:r>
          </w:p>
        </w:tc>
      </w:tr>
      <w:tr>
        <w:tc>
          <w:tcPr>
            <w:tcW w:type="dxa" w:w="2448"/>
            <w:shd w:val="clear" w:color="auto" w:fill="0D47A1"/>
          </w:tcPr>
          <w:p>
            <w:r>
              <w:rPr>
                <w:b/>
                <w:color w:val="FFFFFF"/>
                <w:sz w:val="20"/>
              </w:rPr>
              <w:t>Year</w:t>
            </w:r>
          </w:p>
        </w:tc>
        <w:tc>
          <w:tcPr>
            <w:tcW w:type="dxa" w:w="7056"/>
            <w:shd w:val="clear" w:color="auto" w:fill="FFFFFF"/>
          </w:tcPr>
          <w:p>
            <w:r>
              <w:rPr>
                <w:color w:val="1A1A2E"/>
                <w:sz w:val="20"/>
              </w:rPr>
              <w:t>2024</w:t>
            </w:r>
          </w:p>
        </w:tc>
      </w:tr>
      <w:tr>
        <w:tc>
          <w:tcPr>
            <w:tcW w:type="dxa" w:w="2448"/>
            <w:shd w:val="clear" w:color="auto" w:fill="0D47A1"/>
          </w:tcPr>
          <w:p>
            <w:r>
              <w:rPr>
                <w:b/>
                <w:color w:val="FFFFFF"/>
                <w:sz w:val="20"/>
              </w:rPr>
              <w:t>Domain</w:t>
            </w:r>
          </w:p>
        </w:tc>
        <w:tc>
          <w:tcPr>
            <w:tcW w:type="dxa" w:w="7056"/>
            <w:shd w:val="clear" w:color="auto" w:fill="EEF4FF"/>
          </w:tcPr>
          <w:p>
            <w:r>
              <w:rPr>
                <w:color w:val="1A1A2E"/>
                <w:sz w:val="20"/>
              </w:rPr>
              <w:t>Software Engineering — Incident Management — LLM Agents — AIOps</w:t>
            </w:r>
          </w:p>
        </w:tc>
      </w:tr>
    </w:tbl>
    <w:p/>
    <w:p>
      <w:pPr>
        <w:spacing w:before="200" w:after="60"/>
      </w:pPr>
      <w:r>
        <w:rPr>
          <w:b/>
          <w:color w:val="006E6E"/>
          <w:sz w:val="24"/>
        </w:rPr>
        <w:t>Detailed Summary</w:t>
      </w:r>
    </w:p>
    <w:p>
      <w:pPr>
        <w:spacing w:before="0" w:after="100"/>
        <w:jc w:val="both"/>
      </w:pPr>
      <w:r>
        <w:rPr>
          <w:color w:val="1A1A2E"/>
          <w:sz w:val="22"/>
        </w:rPr>
        <w:t>This paper systematically evaluates LLM-based ReAct agents for root cause analysis on production incidents from Microsoft's Azure cloud platform. Previous LLM approaches to RCA used static information — incident reports, runbooks, historical data — without the ability to dynamically collect additional diagnostic information. This severely limits their diagnostic capability because the key evidence for a root cause often must be actively retrieved from logs, metrics, and monitoring systems.</w:t>
      </w:r>
    </w:p>
    <w:p>
      <w:pPr>
        <w:spacing w:before="0" w:after="100"/>
        <w:jc w:val="both"/>
      </w:pPr>
      <w:r>
        <w:rPr>
          <w:color w:val="1A1A2E"/>
          <w:sz w:val="22"/>
        </w:rPr>
        <w:t>The paper equips a ReAct agent with retrieval tools that provide access to incident logs, service metrics, dependency graphs, and monitoring dashboards. It evaluates this agent on a dataset of real production incidents collected at Microsoft — an out-of-distribution dataset that tests generalisation beyond training data.</w:t>
      </w:r>
    </w:p>
    <w:p>
      <w:pPr>
        <w:spacing w:before="0" w:after="100"/>
        <w:jc w:val="both"/>
      </w:pPr>
      <w:r>
        <w:rPr>
          <w:color w:val="1A1A2E"/>
          <w:sz w:val="22"/>
        </w:rPr>
        <w:t>A key experiment examines whether adding incident discussion threads — conversations between engineers about the incident — as additional context improves performance. Surprisingly, this addition does not yield significant improvements, suggesting that structured diagnostic data is more valuable than unstructured engineer discussions for automated RCA.</w:t>
      </w:r>
    </w:p>
    <w:p>
      <w:pPr>
        <w:spacing w:before="200" w:after="60"/>
      </w:pPr>
      <w:r>
        <w:rPr>
          <w:b/>
          <w:color w:val="006E6E"/>
          <w:sz w:val="24"/>
        </w:rPr>
        <w:t>Key Technical Contributions</w:t>
      </w:r>
    </w:p>
    <w:p>
      <w:pPr>
        <w:spacing w:before="140" w:after="40"/>
      </w:pPr>
      <w:r>
        <w:rPr>
          <w:b/>
          <w:color w:val="1A1A2E"/>
          <w:sz w:val="22"/>
        </w:rPr>
        <w:t>Tool-Augmented ReAct for Production RCA</w:t>
      </w:r>
    </w:p>
    <w:p>
      <w:pPr>
        <w:spacing w:before="0" w:after="100"/>
        <w:jc w:val="both"/>
      </w:pPr>
      <w:r>
        <w:rPr>
          <w:color w:val="1A1A2E"/>
          <w:sz w:val="22"/>
        </w:rPr>
        <w:t>The main contribution is a systematic empirical evaluation of the ReAct pattern specifically for production cloud RCA. The paper identifies which tool types are most useful, how tool quality affects agent performance, and what practical considerations are important for deployment.</w:t>
      </w:r>
    </w:p>
    <w:p>
      <w:pPr>
        <w:spacing w:before="140" w:after="40"/>
      </w:pPr>
      <w:r>
        <w:rPr>
          <w:b/>
          <w:color w:val="1A1A2E"/>
          <w:sz w:val="22"/>
        </w:rPr>
        <w:t>Out-of-Distribution Evaluation</w:t>
      </w:r>
    </w:p>
    <w:p>
      <w:pPr>
        <w:spacing w:before="0" w:after="100"/>
        <w:jc w:val="both"/>
      </w:pPr>
      <w:r>
        <w:rPr>
          <w:color w:val="1A1A2E"/>
          <w:sz w:val="22"/>
        </w:rPr>
        <w:t>By using a real Microsoft production incident dataset rather than a curated academic benchmark, the paper provides a more honest assessment of real-world LLM-based RCA performance. Out-of-distribution evaluation tests generalisation rather than memorisation.</w:t>
      </w:r>
    </w:p>
    <w:p>
      <w:pPr>
        <w:spacing w:before="140" w:after="40"/>
      </w:pPr>
      <w:r>
        <w:rPr>
          <w:b/>
          <w:color w:val="1A1A2E"/>
          <w:sz w:val="22"/>
        </w:rPr>
        <w:t>Case Study with Real Engineering Team</w:t>
      </w:r>
    </w:p>
    <w:p>
      <w:pPr>
        <w:spacing w:before="0" w:after="100"/>
        <w:jc w:val="both"/>
      </w:pPr>
      <w:r>
        <w:rPr>
          <w:color w:val="1A1A2E"/>
          <w:sz w:val="22"/>
        </w:rPr>
        <w:t>The paper includes a case study where a specific engineering team integrates the ReAct agent into their actual RCA workflow, providing access to the team's proprietary diagnostic tools. This demonstrates the practical integration path for LLM-based RCA in industry settings.</w:t>
      </w:r>
    </w:p>
    <w:p>
      <w:pPr>
        <w:spacing w:before="200" w:after="60"/>
      </w:pPr>
      <w:r>
        <w:rPr>
          <w:b/>
          <w:color w:val="006E6E"/>
          <w:sz w:val="24"/>
        </w:rPr>
        <w:t>Key Findings</w:t>
      </w:r>
    </w:p>
    <w:p>
      <w:pPr>
        <w:pStyle w:val="ListBullet"/>
        <w:spacing w:before="20" w:after="40"/>
        <w:ind w:left="432"/>
      </w:pPr>
      <w:r>
        <w:rPr>
          <w:color w:val="1A1A2E"/>
          <w:sz w:val="22"/>
        </w:rPr>
        <w:t>ReAct agents with retrieval tools significantly outperform static LLM approaches that use only incident report text.</w:t>
      </w:r>
    </w:p>
    <w:p>
      <w:pPr>
        <w:pStyle w:val="ListBullet"/>
        <w:spacing w:before="20" w:after="40"/>
        <w:ind w:left="432"/>
      </w:pPr>
      <w:r>
        <w:rPr>
          <w:color w:val="1A1A2E"/>
          <w:sz w:val="22"/>
        </w:rPr>
        <w:t>Dynamic information collection via tools is critical — models without retrieval tools fail on incidents where the key evidence must be actively gathered.</w:t>
      </w:r>
    </w:p>
    <w:p>
      <w:pPr>
        <w:pStyle w:val="ListBullet"/>
        <w:spacing w:before="20" w:after="40"/>
        <w:ind w:left="432"/>
      </w:pPr>
      <w:r>
        <w:rPr>
          <w:color w:val="1A1A2E"/>
          <w:sz w:val="22"/>
        </w:rPr>
        <w:t>Adding engineer discussion threads does not improve performance significantly — structured diagnostic data (metrics, logs) is more valuable than unstructured natural language discussions.</w:t>
      </w:r>
    </w:p>
    <w:p>
      <w:pPr>
        <w:pStyle w:val="ListBullet"/>
        <w:spacing w:before="20" w:after="40"/>
        <w:ind w:left="432"/>
      </w:pPr>
      <w:r>
        <w:rPr>
          <w:color w:val="1A1A2E"/>
          <w:sz w:val="22"/>
        </w:rPr>
        <w:t>Tool quality is a major bottleneck — when retrieval tools return irrelevant or incomplete information, agent performance drops substantially.</w:t>
      </w:r>
    </w:p>
    <w:p>
      <w:pPr>
        <w:spacing w:before="200" w:after="60"/>
      </w:pPr>
      <w:r>
        <w:rPr>
          <w:b/>
          <w:color w:val="006E6E"/>
          <w:sz w:val="24"/>
        </w:rPr>
        <w:t>Limitations and Research Gaps</w:t>
      </w:r>
    </w:p>
    <w:p>
      <w:pPr>
        <w:spacing w:before="140" w:after="40"/>
      </w:pPr>
      <w:r>
        <w:rPr>
          <w:b/>
          <w:color w:val="1A1A2E"/>
          <w:sz w:val="22"/>
        </w:rPr>
        <w:t>Limitation 1: IT Domain Only</w:t>
      </w:r>
    </w:p>
    <w:p>
      <w:pPr>
        <w:spacing w:before="0" w:after="100"/>
        <w:jc w:val="both"/>
      </w:pPr>
      <w:r>
        <w:rPr>
          <w:color w:val="1A1A2E"/>
          <w:sz w:val="22"/>
        </w:rPr>
        <w:t>The evaluation focuses exclusively on cloud infrastructure incidents. Business-level anomalies — revenue drops, customer churn, conversion rate declines — require different tools, different domain knowledge, and different reasoning patterns. The findings do not generalise to business intelligence applications.</w:t>
      </w:r>
    </w:p>
    <w:p>
      <w:pPr>
        <w:spacing w:before="140" w:after="40"/>
      </w:pPr>
      <w:r>
        <w:rPr>
          <w:b/>
          <w:color w:val="1A1A2E"/>
          <w:sz w:val="22"/>
        </w:rPr>
        <w:t>Limitation 2: No Causal Graph Integration</w:t>
      </w:r>
    </w:p>
    <w:p>
      <w:pPr>
        <w:spacing w:before="0" w:after="100"/>
        <w:jc w:val="both"/>
      </w:pPr>
      <w:r>
        <w:rPr>
          <w:color w:val="1A1A2E"/>
          <w:sz w:val="22"/>
        </w:rPr>
        <w:t>The agent reasons over retrieved evidence using free-form LLM reasoning but does not build a formal causal graph. Without a structured causal model, the agent cannot distinguish causation from correlation, and its root cause attributions may be confounded.</w:t>
      </w:r>
    </w:p>
    <w:p>
      <w:r>
        <w:br w:type="page"/>
      </w:r>
    </w:p>
    <w:p>
      <w:pPr>
        <w:spacing w:before="320" w:after="80"/>
        <w:pBdr>
          <w:bottom w:val="single" w:sz="8" w:space="1" w:color="0D47A1"/>
        </w:pBdr>
      </w:pPr>
      <w:r>
        <w:rPr>
          <w:b/>
          <w:color w:val="0D47A1"/>
          <w:sz w:val="32"/>
        </w:rPr>
        <w:t>PAPER 8</w:t>
      </w:r>
    </w:p>
    <w:p>
      <w:pPr>
        <w:spacing w:before="80" w:after="120"/>
        <w:jc w:val="center"/>
      </w:pPr>
      <w:r>
        <w:rPr>
          <w:b/>
          <w:color w:val="0D47A1"/>
          <w:sz w:val="26"/>
        </w:rPr>
        <w:t>DABL: Detecting Semantic Anomalies in Business Processes Using Large Language Models</w:t>
      </w:r>
    </w:p>
    <w:p>
      <w:pPr>
        <w:spacing w:before="200" w:after="60"/>
      </w:pPr>
      <w:r>
        <w:rPr>
          <w:b/>
          <w:color w:val="006E6E"/>
          <w:sz w:val="24"/>
        </w:rPr>
        <w:t>Paper Information</w:t>
      </w:r>
    </w:p>
    <w:tbl>
      <w:tblPr>
        <w:tblStyle w:val="TableGrid"/>
        <w:tblW w:type="auto" w:w="0"/>
        <w:jc w:val="left"/>
        <w:tblLook w:firstColumn="1" w:firstRow="1" w:lastColumn="0" w:lastRow="0" w:noHBand="0" w:noVBand="1" w:val="04A0"/>
      </w:tblPr>
      <w:tblGrid>
        <w:gridCol w:w="4514"/>
        <w:gridCol w:w="4514"/>
      </w:tblGrid>
      <w:tr>
        <w:tc>
          <w:tcPr>
            <w:tcW w:type="dxa" w:w="2448"/>
            <w:shd w:val="clear" w:color="auto" w:fill="0D47A1"/>
          </w:tcPr>
          <w:p>
            <w:r>
              <w:rPr>
                <w:b/>
                <w:color w:val="FFFFFF"/>
                <w:sz w:val="20"/>
              </w:rPr>
              <w:t>Full Title</w:t>
            </w:r>
          </w:p>
        </w:tc>
        <w:tc>
          <w:tcPr>
            <w:tcW w:type="dxa" w:w="7056"/>
            <w:shd w:val="clear" w:color="auto" w:fill="EEF4FF"/>
          </w:tcPr>
          <w:p>
            <w:r>
              <w:rPr>
                <w:color w:val="1A1A2E"/>
                <w:sz w:val="20"/>
              </w:rPr>
              <w:t>DABL: Detecting Semantic Anomalies in Business Processes Using Large Language Models</w:t>
            </w:r>
          </w:p>
        </w:tc>
      </w:tr>
      <w:tr>
        <w:tc>
          <w:tcPr>
            <w:tcW w:type="dxa" w:w="2448"/>
            <w:shd w:val="clear" w:color="auto" w:fill="0D47A1"/>
          </w:tcPr>
          <w:p>
            <w:r>
              <w:rPr>
                <w:b/>
                <w:color w:val="FFFFFF"/>
                <w:sz w:val="20"/>
              </w:rPr>
              <w:t>Authors</w:t>
            </w:r>
          </w:p>
        </w:tc>
        <w:tc>
          <w:tcPr>
            <w:tcW w:type="dxa" w:w="7056"/>
            <w:shd w:val="clear" w:color="auto" w:fill="FFFFFF"/>
          </w:tcPr>
          <w:p>
            <w:r>
              <w:rPr>
                <w:color w:val="1A1A2E"/>
                <w:sz w:val="20"/>
              </w:rPr>
              <w:t>Wei Guan, Jian Cao, Jianqi Gao, Haiyan Zhao, Shiyou Qian</w:t>
            </w:r>
          </w:p>
        </w:tc>
      </w:tr>
      <w:tr>
        <w:tc>
          <w:tcPr>
            <w:tcW w:type="dxa" w:w="2448"/>
            <w:shd w:val="clear" w:color="auto" w:fill="0D47A1"/>
          </w:tcPr>
          <w:p>
            <w:r>
              <w:rPr>
                <w:b/>
                <w:color w:val="FFFFFF"/>
                <w:sz w:val="20"/>
              </w:rPr>
              <w:t>Affiliation</w:t>
            </w:r>
          </w:p>
        </w:tc>
        <w:tc>
          <w:tcPr>
            <w:tcW w:type="dxa" w:w="7056"/>
            <w:shd w:val="clear" w:color="auto" w:fill="EEF4FF"/>
          </w:tcPr>
          <w:p>
            <w:r>
              <w:rPr>
                <w:color w:val="1A1A2E"/>
                <w:sz w:val="20"/>
              </w:rPr>
              <w:t>Shanghai Jiao Tong University</w:t>
            </w:r>
          </w:p>
        </w:tc>
      </w:tr>
      <w:tr>
        <w:tc>
          <w:tcPr>
            <w:tcW w:type="dxa" w:w="2448"/>
            <w:shd w:val="clear" w:color="auto" w:fill="0D47A1"/>
          </w:tcPr>
          <w:p>
            <w:r>
              <w:rPr>
                <w:b/>
                <w:color w:val="FFFFFF"/>
                <w:sz w:val="20"/>
              </w:rPr>
              <w:t>Published</w:t>
            </w:r>
          </w:p>
        </w:tc>
        <w:tc>
          <w:tcPr>
            <w:tcW w:type="dxa" w:w="7056"/>
            <w:shd w:val="clear" w:color="auto" w:fill="FFFFFF"/>
          </w:tcPr>
          <w:p>
            <w:r>
              <w:rPr>
                <w:color w:val="1A1A2E"/>
                <w:sz w:val="20"/>
              </w:rPr>
              <w:t>AAAI 2025 — Proceedings of the AAAI Conference on Artificial Intelligence, vol. 39, no. 11, pp. 11735-11744</w:t>
            </w:r>
          </w:p>
        </w:tc>
      </w:tr>
      <w:tr>
        <w:tc>
          <w:tcPr>
            <w:tcW w:type="dxa" w:w="2448"/>
            <w:shd w:val="clear" w:color="auto" w:fill="0D47A1"/>
          </w:tcPr>
          <w:p>
            <w:r>
              <w:rPr>
                <w:b/>
                <w:color w:val="FFFFFF"/>
                <w:sz w:val="20"/>
              </w:rPr>
              <w:t>arXiv</w:t>
            </w:r>
          </w:p>
        </w:tc>
        <w:tc>
          <w:tcPr>
            <w:tcW w:type="dxa" w:w="7056"/>
            <w:shd w:val="clear" w:color="auto" w:fill="EEF4FF"/>
          </w:tcPr>
          <w:p>
            <w:r>
              <w:rPr>
                <w:color w:val="1A1A2E"/>
                <w:sz w:val="20"/>
              </w:rPr>
              <w:t>arXiv:2406.15781</w:t>
            </w:r>
          </w:p>
        </w:tc>
      </w:tr>
      <w:tr>
        <w:tc>
          <w:tcPr>
            <w:tcW w:type="dxa" w:w="2448"/>
            <w:shd w:val="clear" w:color="auto" w:fill="0D47A1"/>
          </w:tcPr>
          <w:p>
            <w:r>
              <w:rPr>
                <w:b/>
                <w:color w:val="FFFFFF"/>
                <w:sz w:val="20"/>
              </w:rPr>
              <w:t>Year</w:t>
            </w:r>
          </w:p>
        </w:tc>
        <w:tc>
          <w:tcPr>
            <w:tcW w:type="dxa" w:w="7056"/>
            <w:shd w:val="clear" w:color="auto" w:fill="FFFFFF"/>
          </w:tcPr>
          <w:p>
            <w:r>
              <w:rPr>
                <w:color w:val="1A1A2E"/>
                <w:sz w:val="20"/>
              </w:rPr>
              <w:t>2025</w:t>
            </w:r>
          </w:p>
        </w:tc>
      </w:tr>
      <w:tr>
        <w:tc>
          <w:tcPr>
            <w:tcW w:type="dxa" w:w="2448"/>
            <w:shd w:val="clear" w:color="auto" w:fill="0D47A1"/>
          </w:tcPr>
          <w:p>
            <w:r>
              <w:rPr>
                <w:b/>
                <w:color w:val="FFFFFF"/>
                <w:sz w:val="20"/>
              </w:rPr>
              <w:t>Domain</w:t>
            </w:r>
          </w:p>
        </w:tc>
        <w:tc>
          <w:tcPr>
            <w:tcW w:type="dxa" w:w="7056"/>
            <w:shd w:val="clear" w:color="auto" w:fill="EEF4FF"/>
          </w:tcPr>
          <w:p>
            <w:r>
              <w:rPr>
                <w:color w:val="1A1A2E"/>
                <w:sz w:val="20"/>
              </w:rPr>
              <w:t>Business Process Management — Anomaly Detection — LLMs</w:t>
            </w:r>
          </w:p>
        </w:tc>
      </w:tr>
    </w:tbl>
    <w:p/>
    <w:p>
      <w:pPr>
        <w:spacing w:before="200" w:after="60"/>
      </w:pPr>
      <w:r>
        <w:rPr>
          <w:b/>
          <w:color w:val="006E6E"/>
          <w:sz w:val="24"/>
        </w:rPr>
        <w:t>Detailed Summary</w:t>
      </w:r>
    </w:p>
    <w:p>
      <w:pPr>
        <w:spacing w:before="0" w:after="100"/>
        <w:jc w:val="both"/>
      </w:pPr>
      <w:r>
        <w:rPr>
          <w:color w:val="1A1A2E"/>
          <w:sz w:val="22"/>
        </w:rPr>
        <w:t>DABL addresses semantic anomaly detection in business processes — identifying when a process execution deviates from its intended logic, not just from its statistical frequency. Traditional anomaly detection in process mining relies on frequency: if a sequence of activities is rare, it is flagged as anomalous. But infrequent behaviour is not always undesirable — a new regulatory requirement may introduce a legitimate but rare process variant.</w:t>
      </w:r>
    </w:p>
    <w:p>
      <w:pPr>
        <w:spacing w:before="0" w:after="100"/>
        <w:jc w:val="both"/>
      </w:pPr>
      <w:r>
        <w:rPr>
          <w:color w:val="1A1A2E"/>
          <w:sz w:val="22"/>
        </w:rPr>
        <w:t>The key innovation is shifting from frequency-based to semantics-based anomaly detection. DABL fine-tunes Llama 2 on a large dataset of business process traces, teaching the model to understand the logical relationships between activities — what should come before what, what activities are mutually exclusive, what sequences are logically impossible.</w:t>
      </w:r>
    </w:p>
    <w:p>
      <w:pPr>
        <w:spacing w:before="0" w:after="100"/>
        <w:jc w:val="both"/>
      </w:pPr>
      <w:r>
        <w:rPr>
          <w:color w:val="1A1A2E"/>
          <w:sz w:val="22"/>
        </w:rPr>
        <w:t>The training data is constructed by collecting 143,137 real-world process models from diverse domains, generating normal traces by playing out these models, and then simulating two types of anomalies: ordering anomalies (activities occur in the wrong sequence) and exclusion anomalies (mutually exclusive activities both occur).</w:t>
      </w:r>
    </w:p>
    <w:p>
      <w:pPr>
        <w:spacing w:before="200" w:after="60"/>
      </w:pPr>
      <w:r>
        <w:rPr>
          <w:b/>
          <w:color w:val="006E6E"/>
          <w:sz w:val="24"/>
        </w:rPr>
        <w:t>Key Technical Contributions</w:t>
      </w:r>
    </w:p>
    <w:p>
      <w:pPr>
        <w:spacing w:before="140" w:after="40"/>
      </w:pPr>
      <w:r>
        <w:rPr>
          <w:b/>
          <w:color w:val="1A1A2E"/>
          <w:sz w:val="22"/>
        </w:rPr>
        <w:t>Semantic Anomaly Formulation</w:t>
      </w:r>
    </w:p>
    <w:p>
      <w:pPr>
        <w:spacing w:before="0" w:after="100"/>
        <w:jc w:val="both"/>
      </w:pPr>
      <w:r>
        <w:rPr>
          <w:color w:val="1A1A2E"/>
          <w:sz w:val="22"/>
        </w:rPr>
        <w:t>By framing anomaly detection as a semantic understanding problem rather than a statistical outlier problem, DABL can detect anomalies that are statistically plausible but logically impossible. This is a fundamentally different and more powerful criterion for business process quality assurance.</w:t>
      </w:r>
    </w:p>
    <w:p>
      <w:pPr>
        <w:spacing w:before="140" w:after="40"/>
      </w:pPr>
      <w:r>
        <w:rPr>
          <w:b/>
          <w:color w:val="1A1A2E"/>
          <w:sz w:val="22"/>
        </w:rPr>
        <w:t>Trace-Level Context</w:t>
      </w:r>
    </w:p>
    <w:p>
      <w:pPr>
        <w:spacing w:before="0" w:after="100"/>
        <w:jc w:val="both"/>
      </w:pPr>
      <w:r>
        <w:rPr>
          <w:color w:val="1A1A2E"/>
          <w:sz w:val="22"/>
        </w:rPr>
        <w:t>Previous semantic methods processed a trace as multiple event pairs, losing long-distance dependencies between activities separated by many steps. DABL processes the full trace as a sequence, allowing the LLM to capture relationships between non-adjacent activities.</w:t>
      </w:r>
    </w:p>
    <w:p>
      <w:pPr>
        <w:spacing w:before="140" w:after="40"/>
      </w:pPr>
      <w:r>
        <w:rPr>
          <w:b/>
          <w:color w:val="1A1A2E"/>
          <w:sz w:val="22"/>
        </w:rPr>
        <w:t>Natural Language Anomaly Explanation</w:t>
      </w:r>
    </w:p>
    <w:p>
      <w:pPr>
        <w:spacing w:before="0" w:after="100"/>
        <w:jc w:val="both"/>
      </w:pPr>
      <w:r>
        <w:rPr>
          <w:color w:val="1A1A2E"/>
          <w:sz w:val="22"/>
        </w:rPr>
        <w:t>DABL can explain detected anomalies in natural language — 'the approval step occurred after the payment step, which violates the required authorisation sequence.' This interpretability is critical for business users who need to understand and act on detected anomalies.</w:t>
      </w:r>
    </w:p>
    <w:p>
      <w:pPr>
        <w:spacing w:before="200" w:after="60"/>
      </w:pPr>
      <w:r>
        <w:rPr>
          <w:b/>
          <w:color w:val="006E6E"/>
          <w:sz w:val="24"/>
        </w:rPr>
        <w:t>Key Findings</w:t>
      </w:r>
    </w:p>
    <w:p>
      <w:pPr>
        <w:pStyle w:val="ListBullet"/>
        <w:spacing w:before="20" w:after="40"/>
        <w:ind w:left="432"/>
      </w:pPr>
      <w:r>
        <w:rPr>
          <w:color w:val="1A1A2E"/>
          <w:sz w:val="22"/>
        </w:rPr>
        <w:t>DABL surpasses state-of-the-art semantic anomaly detection methods in generalisation ability across different process domains.</w:t>
      </w:r>
    </w:p>
    <w:p>
      <w:pPr>
        <w:pStyle w:val="ListBullet"/>
        <w:spacing w:before="20" w:after="40"/>
        <w:ind w:left="432"/>
      </w:pPr>
      <w:r>
        <w:rPr>
          <w:color w:val="1A1A2E"/>
          <w:sz w:val="22"/>
        </w:rPr>
        <w:t>The trace-level formulation significantly outperforms event-pair-level methods — long-distance dependencies are important for accurate semantic anomaly detection.</w:t>
      </w:r>
    </w:p>
    <w:p>
      <w:pPr>
        <w:pStyle w:val="ListBullet"/>
        <w:spacing w:before="20" w:after="40"/>
        <w:ind w:left="432"/>
      </w:pPr>
      <w:r>
        <w:rPr>
          <w:color w:val="1A1A2E"/>
          <w:sz w:val="22"/>
        </w:rPr>
        <w:t>Fine-tuned Llama 2 achieves strong performance without requiring additional training on new process domains — generalisation to unseen process types is demonstrated.</w:t>
      </w:r>
    </w:p>
    <w:p>
      <w:pPr>
        <w:pStyle w:val="ListBullet"/>
        <w:spacing w:before="20" w:after="40"/>
        <w:ind w:left="432"/>
      </w:pPr>
      <w:r>
        <w:rPr>
          <w:color w:val="1A1A2E"/>
          <w:sz w:val="22"/>
        </w:rPr>
        <w:t>Users can apply DABL to their own process logs without additional training — a key practical advantage.</w:t>
      </w:r>
    </w:p>
    <w:p>
      <w:pPr>
        <w:spacing w:before="200" w:after="60"/>
      </w:pPr>
      <w:r>
        <w:rPr>
          <w:b/>
          <w:color w:val="006E6E"/>
          <w:sz w:val="24"/>
        </w:rPr>
        <w:t>Limitations and Research Gaps</w:t>
      </w:r>
    </w:p>
    <w:p>
      <w:pPr>
        <w:spacing w:before="140" w:after="40"/>
      </w:pPr>
      <w:r>
        <w:rPr>
          <w:b/>
          <w:color w:val="1A1A2E"/>
          <w:sz w:val="22"/>
        </w:rPr>
        <w:t>Limitation 1: Business Processes Not Business KPIs</w:t>
      </w:r>
    </w:p>
    <w:p>
      <w:pPr>
        <w:spacing w:before="0" w:after="100"/>
        <w:jc w:val="both"/>
      </w:pPr>
      <w:r>
        <w:rPr>
          <w:color w:val="1A1A2E"/>
          <w:sz w:val="22"/>
        </w:rPr>
        <w:t>DABL detects anomalies in business process execution traces — sequences of activities like 'submit → review → approve → pay.' It does not detect anomalies in business KPI time series — revenue trends, conversion rates, order volumes. The two problem settings are fundamentally different.</w:t>
      </w:r>
    </w:p>
    <w:p>
      <w:pPr>
        <w:spacing w:before="140" w:after="40"/>
      </w:pPr>
      <w:r>
        <w:rPr>
          <w:b/>
          <w:color w:val="1A1A2E"/>
          <w:sz w:val="22"/>
        </w:rPr>
        <w:t>Limitation 2: No Root Cause Analysis</w:t>
      </w:r>
    </w:p>
    <w:p>
      <w:pPr>
        <w:spacing w:before="0" w:after="100"/>
        <w:jc w:val="both"/>
      </w:pPr>
      <w:r>
        <w:rPr>
          <w:color w:val="1A1A2E"/>
          <w:sz w:val="22"/>
        </w:rPr>
        <w:t>DABL detects and explains anomalies in terms of process violations but does not trace the root cause to an upstream business factor. It cannot answer 'why did this anomaly occur' in terms of external causal drivers.</w:t>
      </w:r>
    </w:p>
    <w:p>
      <w:r>
        <w:br w:type="page"/>
      </w:r>
    </w:p>
    <w:p>
      <w:pPr>
        <w:spacing w:before="320" w:after="80"/>
        <w:pBdr>
          <w:bottom w:val="single" w:sz="8" w:space="1" w:color="0D47A1"/>
        </w:pBdr>
      </w:pPr>
      <w:r>
        <w:rPr>
          <w:b/>
          <w:color w:val="0D47A1"/>
          <w:sz w:val="32"/>
        </w:rPr>
        <w:t>PAPER 9</w:t>
      </w:r>
    </w:p>
    <w:p>
      <w:pPr>
        <w:spacing w:before="80" w:after="120"/>
        <w:jc w:val="center"/>
      </w:pPr>
      <w:r>
        <w:rPr>
          <w:b/>
          <w:color w:val="0D47A1"/>
          <w:sz w:val="26"/>
        </w:rPr>
        <w:t>Graph-Augmented Multi-Agent Robust Root Cause Analysis in AIOps</w:t>
      </w:r>
    </w:p>
    <w:p>
      <w:pPr>
        <w:spacing w:before="200" w:after="60"/>
      </w:pPr>
      <w:r>
        <w:rPr>
          <w:b/>
          <w:color w:val="006E6E"/>
          <w:sz w:val="24"/>
        </w:rPr>
        <w:t>Paper Information</w:t>
      </w:r>
    </w:p>
    <w:tbl>
      <w:tblPr>
        <w:tblStyle w:val="TableGrid"/>
        <w:tblW w:type="auto" w:w="0"/>
        <w:jc w:val="left"/>
        <w:tblLook w:firstColumn="1" w:firstRow="1" w:lastColumn="0" w:lastRow="0" w:noHBand="0" w:noVBand="1" w:val="04A0"/>
      </w:tblPr>
      <w:tblGrid>
        <w:gridCol w:w="4514"/>
        <w:gridCol w:w="4514"/>
      </w:tblGrid>
      <w:tr>
        <w:tc>
          <w:tcPr>
            <w:tcW w:type="dxa" w:w="2448"/>
            <w:shd w:val="clear" w:color="auto" w:fill="0D47A1"/>
          </w:tcPr>
          <w:p>
            <w:r>
              <w:rPr>
                <w:b/>
                <w:color w:val="FFFFFF"/>
                <w:sz w:val="20"/>
              </w:rPr>
              <w:t>Full Title</w:t>
            </w:r>
          </w:p>
        </w:tc>
        <w:tc>
          <w:tcPr>
            <w:tcW w:type="dxa" w:w="7056"/>
            <w:shd w:val="clear" w:color="auto" w:fill="EEF4FF"/>
          </w:tcPr>
          <w:p>
            <w:r>
              <w:rPr>
                <w:color w:val="1A1A2E"/>
                <w:sz w:val="20"/>
              </w:rPr>
              <w:t>Graph-Augmented Multi-Agent Robust Root Cause Analysis in AIOps</w:t>
            </w:r>
          </w:p>
        </w:tc>
      </w:tr>
      <w:tr>
        <w:tc>
          <w:tcPr>
            <w:tcW w:type="dxa" w:w="2448"/>
            <w:shd w:val="clear" w:color="auto" w:fill="0D47A1"/>
          </w:tcPr>
          <w:p>
            <w:r>
              <w:rPr>
                <w:b/>
                <w:color w:val="FFFFFF"/>
                <w:sz w:val="20"/>
              </w:rPr>
              <w:t>Authors</w:t>
            </w:r>
          </w:p>
        </w:tc>
        <w:tc>
          <w:tcPr>
            <w:tcW w:type="dxa" w:w="7056"/>
            <w:shd w:val="clear" w:color="auto" w:fill="FFFFFF"/>
          </w:tcPr>
          <w:p>
            <w:r>
              <w:rPr>
                <w:color w:val="1A1A2E"/>
                <w:sz w:val="20"/>
              </w:rPr>
              <w:t>Haodong Zou, Yichen Zhao, Xin Chen, Ling Wang, Jinghang Yu, Long Yuan</w:t>
            </w:r>
          </w:p>
        </w:tc>
      </w:tr>
      <w:tr>
        <w:tc>
          <w:tcPr>
            <w:tcW w:type="dxa" w:w="2448"/>
            <w:shd w:val="clear" w:color="auto" w:fill="0D47A1"/>
          </w:tcPr>
          <w:p>
            <w:r>
              <w:rPr>
                <w:b/>
                <w:color w:val="FFFFFF"/>
                <w:sz w:val="20"/>
              </w:rPr>
              <w:t>Affiliation</w:t>
            </w:r>
          </w:p>
        </w:tc>
        <w:tc>
          <w:tcPr>
            <w:tcW w:type="dxa" w:w="7056"/>
            <w:shd w:val="clear" w:color="auto" w:fill="EEF4FF"/>
          </w:tcPr>
          <w:p>
            <w:r>
              <w:rPr>
                <w:color w:val="1A1A2E"/>
                <w:sz w:val="20"/>
              </w:rPr>
              <w:t>State Grid Jiangsu Electric Power Co.; Wuhan University of Technology</w:t>
            </w:r>
          </w:p>
        </w:tc>
      </w:tr>
      <w:tr>
        <w:tc>
          <w:tcPr>
            <w:tcW w:type="dxa" w:w="2448"/>
            <w:shd w:val="clear" w:color="auto" w:fill="0D47A1"/>
          </w:tcPr>
          <w:p>
            <w:r>
              <w:rPr>
                <w:b/>
                <w:color w:val="FFFFFF"/>
                <w:sz w:val="20"/>
              </w:rPr>
              <w:t>Published</w:t>
            </w:r>
          </w:p>
        </w:tc>
        <w:tc>
          <w:tcPr>
            <w:tcW w:type="dxa" w:w="7056"/>
            <w:shd w:val="clear" w:color="auto" w:fill="FFFFFF"/>
          </w:tcPr>
          <w:p>
            <w:r>
              <w:rPr>
                <w:color w:val="1A1A2E"/>
                <w:sz w:val="20"/>
              </w:rPr>
              <w:t>Computers, Materials &amp; Continua (CMC), Vol. 88, No. 1, 2026. DOI: 10.32604/cmc.2026.077908</w:t>
            </w:r>
          </w:p>
        </w:tc>
      </w:tr>
      <w:tr>
        <w:tc>
          <w:tcPr>
            <w:tcW w:type="dxa" w:w="2448"/>
            <w:shd w:val="clear" w:color="auto" w:fill="0D47A1"/>
          </w:tcPr>
          <w:p>
            <w:r>
              <w:rPr>
                <w:b/>
                <w:color w:val="FFFFFF"/>
                <w:sz w:val="20"/>
              </w:rPr>
              <w:t>Year</w:t>
            </w:r>
          </w:p>
        </w:tc>
        <w:tc>
          <w:tcPr>
            <w:tcW w:type="dxa" w:w="7056"/>
            <w:shd w:val="clear" w:color="auto" w:fill="EEF4FF"/>
          </w:tcPr>
          <w:p>
            <w:r>
              <w:rPr>
                <w:color w:val="1A1A2E"/>
                <w:sz w:val="20"/>
              </w:rPr>
              <w:t>2026</w:t>
            </w:r>
          </w:p>
        </w:tc>
      </w:tr>
      <w:tr>
        <w:tc>
          <w:tcPr>
            <w:tcW w:type="dxa" w:w="2448"/>
            <w:shd w:val="clear" w:color="auto" w:fill="0D47A1"/>
          </w:tcPr>
          <w:p>
            <w:r>
              <w:rPr>
                <w:b/>
                <w:color w:val="FFFFFF"/>
                <w:sz w:val="20"/>
              </w:rPr>
              <w:t>Domain</w:t>
            </w:r>
          </w:p>
        </w:tc>
        <w:tc>
          <w:tcPr>
            <w:tcW w:type="dxa" w:w="7056"/>
            <w:shd w:val="clear" w:color="auto" w:fill="FFFFFF"/>
          </w:tcPr>
          <w:p>
            <w:r>
              <w:rPr>
                <w:color w:val="1A1A2E"/>
                <w:sz w:val="20"/>
              </w:rPr>
              <w:t>AIOps — Microservice RCA — Graph Neural Networks — Multi-Agent Systems</w:t>
            </w:r>
          </w:p>
        </w:tc>
      </w:tr>
    </w:tbl>
    <w:p/>
    <w:p>
      <w:pPr>
        <w:spacing w:before="200" w:after="60"/>
      </w:pPr>
      <w:r>
        <w:rPr>
          <w:b/>
          <w:color w:val="006E6E"/>
          <w:sz w:val="24"/>
        </w:rPr>
        <w:t>Detailed Summary</w:t>
      </w:r>
    </w:p>
    <w:p>
      <w:pPr>
        <w:spacing w:before="0" w:after="100"/>
        <w:jc w:val="both"/>
      </w:pPr>
      <w:r>
        <w:rPr>
          <w:color w:val="1A1A2E"/>
          <w:sz w:val="22"/>
        </w:rPr>
        <w:t>This paper proposes a Graph-Augmented Multi-Agent Framework for robust root cause analysis in complex microservice environments. The core problem is that modern AIOps systems receive multi-modal observability data — metrics (CPU, latency, error rates), distributed traces (call chains between services), and logs (unstructured service output) — which must be correlated to diagnose failures. Existing approaches either use only one data modality or use simplistic temporal alignment that fails to capture semantic relationships.</w:t>
      </w:r>
    </w:p>
    <w:p>
      <w:pPr>
        <w:spacing w:before="0" w:after="100"/>
        <w:jc w:val="both"/>
      </w:pPr>
      <w:r>
        <w:rPr>
          <w:color w:val="1A1A2E"/>
          <w:sz w:val="22"/>
        </w:rPr>
        <w:t>The framework operates in two phases. The Anomaly Fusion Graph Construction phase builds a unified knowledge graph from metrics, traces, and logs using a hybrid alignment strategy. An LLM acts as a semantic arbitrator — when log entries could be attributed to multiple services in high-concurrency scenarios, the LLM resolves the ambiguity using semantic understanding of service descriptions and log content.</w:t>
      </w:r>
    </w:p>
    <w:p>
      <w:pPr>
        <w:spacing w:before="0" w:after="100"/>
        <w:jc w:val="both"/>
      </w:pPr>
      <w:r>
        <w:rPr>
          <w:color w:val="1A1A2E"/>
          <w:sz w:val="22"/>
        </w:rPr>
        <w:t>The Multi-Agent Collaborative Reasoning phase deploys three specialised agents: a Navigator Agent that uses fault gradients to efficiently guide the search through the causal graph, a Diagnoser Agent that performs deep semantic analysis of candidate root causes, and a Verifier Agent that applies adversarial validation — challenging each diagnosis with counterfactual reasoning to eliminate hallucinations.</w:t>
      </w:r>
    </w:p>
    <w:p>
      <w:pPr>
        <w:spacing w:before="200" w:after="60"/>
      </w:pPr>
      <w:r>
        <w:rPr>
          <w:b/>
          <w:color w:val="006E6E"/>
          <w:sz w:val="24"/>
        </w:rPr>
        <w:t>Key Technical Contributions</w:t>
      </w:r>
    </w:p>
    <w:p>
      <w:pPr>
        <w:spacing w:before="140" w:after="40"/>
      </w:pPr>
      <w:r>
        <w:rPr>
          <w:b/>
          <w:color w:val="1A1A2E"/>
          <w:sz w:val="22"/>
        </w:rPr>
        <w:t>Anomaly Fusion Graph</w:t>
      </w:r>
    </w:p>
    <w:p>
      <w:pPr>
        <w:spacing w:before="0" w:after="100"/>
        <w:jc w:val="both"/>
      </w:pPr>
      <w:r>
        <w:rPr>
          <w:color w:val="1A1A2E"/>
          <w:sz w:val="22"/>
        </w:rPr>
        <w:t>Unifying metrics, traces, and logs into a single knowledge graph is non-trivial because these modalities have different granularities and temporal alignments. The hybrid alignment strategy uses timestamp matching for high-precision correlations and LLM semantic matching for ambiguous cases, creating a richer diagnostic context than any single modality.</w:t>
      </w:r>
    </w:p>
    <w:p>
      <w:pPr>
        <w:spacing w:before="140" w:after="40"/>
      </w:pPr>
      <w:r>
        <w:rPr>
          <w:b/>
          <w:color w:val="1A1A2E"/>
          <w:sz w:val="22"/>
        </w:rPr>
        <w:t>Adversarial Verification Protocol</w:t>
      </w:r>
    </w:p>
    <w:p>
      <w:pPr>
        <w:spacing w:before="0" w:after="100"/>
        <w:jc w:val="both"/>
      </w:pPr>
      <w:r>
        <w:rPr>
          <w:color w:val="1A1A2E"/>
          <w:sz w:val="22"/>
        </w:rPr>
        <w:t>The Verifier Agent uses counterfactual reasoning — 'if this root cause were correct, what other symptoms would we expect to see, and do those symptoms exist?' — to filter out spurious diagnoses. This hallucination mitigation mechanism is particularly important for LLM-based agents in safety-critical settings.</w:t>
      </w:r>
    </w:p>
    <w:p>
      <w:pPr>
        <w:spacing w:before="140" w:after="40"/>
      </w:pPr>
      <w:r>
        <w:rPr>
          <w:b/>
          <w:color w:val="1A1A2E"/>
          <w:sz w:val="22"/>
        </w:rPr>
        <w:t>Fault Gradient Navigation</w:t>
      </w:r>
    </w:p>
    <w:p>
      <w:pPr>
        <w:spacing w:before="0" w:after="100"/>
        <w:jc w:val="both"/>
      </w:pPr>
      <w:r>
        <w:rPr>
          <w:color w:val="1A1A2E"/>
          <w:sz w:val="22"/>
        </w:rPr>
        <w:t>Rather than exhaustively searching the causal graph, the Navigator Agent computes fault gradients — a measure of how much each node's anomaly score contributes to the overall incident impact — to focus investigation on the most probable root cause regions.</w:t>
      </w:r>
    </w:p>
    <w:p>
      <w:pPr>
        <w:spacing w:before="200" w:after="60"/>
      </w:pPr>
      <w:r>
        <w:rPr>
          <w:b/>
          <w:color w:val="006E6E"/>
          <w:sz w:val="24"/>
        </w:rPr>
        <w:t>Key Findings</w:t>
      </w:r>
    </w:p>
    <w:p>
      <w:pPr>
        <w:pStyle w:val="ListBullet"/>
        <w:spacing w:before="20" w:after="40"/>
        <w:ind w:left="432"/>
      </w:pPr>
      <w:r>
        <w:rPr>
          <w:color w:val="1A1A2E"/>
          <w:sz w:val="22"/>
        </w:rPr>
        <w:t>Average F1-score of 88.4% across five diverse AIOps datasets — outperforming state-of-the-art baselines by 4.6%.</w:t>
      </w:r>
    </w:p>
    <w:p>
      <w:pPr>
        <w:pStyle w:val="ListBullet"/>
        <w:spacing w:before="20" w:after="40"/>
        <w:ind w:left="432"/>
      </w:pPr>
      <w:r>
        <w:rPr>
          <w:color w:val="1A1A2E"/>
          <w:sz w:val="22"/>
        </w:rPr>
        <w:t>End-to-end latency of 50-60 seconds per diagnostic workflow with near-linear scalability (R²=0.97).</w:t>
      </w:r>
    </w:p>
    <w:p>
      <w:pPr>
        <w:pStyle w:val="ListBullet"/>
        <w:spacing w:before="20" w:after="40"/>
        <w:ind w:left="432"/>
      </w:pPr>
      <w:r>
        <w:rPr>
          <w:color w:val="1A1A2E"/>
          <w:sz w:val="22"/>
        </w:rPr>
        <w:t>Per-criterion success rates: 98.75% for planning and tool use, 97.3% for self-reflection, 99.2% for collaboration.</w:t>
      </w:r>
    </w:p>
    <w:p>
      <w:pPr>
        <w:pStyle w:val="ListBullet"/>
        <w:spacing w:before="20" w:after="40"/>
        <w:ind w:left="432"/>
      </w:pPr>
      <w:r>
        <w:rPr>
          <w:color w:val="1A1A2E"/>
          <w:sz w:val="22"/>
        </w:rPr>
        <w:t>Adversarial verification significantly reduces hallucination compared to single-agent diagnosis.</w:t>
      </w:r>
    </w:p>
    <w:p>
      <w:pPr>
        <w:spacing w:before="200" w:after="60"/>
      </w:pPr>
      <w:r>
        <w:rPr>
          <w:b/>
          <w:color w:val="006E6E"/>
          <w:sz w:val="24"/>
        </w:rPr>
        <w:t>Limitations and Research Gaps</w:t>
      </w:r>
    </w:p>
    <w:p>
      <w:pPr>
        <w:spacing w:before="140" w:after="40"/>
      </w:pPr>
      <w:r>
        <w:rPr>
          <w:b/>
          <w:color w:val="1A1A2E"/>
          <w:sz w:val="22"/>
        </w:rPr>
        <w:t>Limitation 1: IT Infrastructure — Not Business Intelligence</w:t>
      </w:r>
    </w:p>
    <w:p>
      <w:pPr>
        <w:spacing w:before="0" w:after="100"/>
        <w:jc w:val="both"/>
      </w:pPr>
      <w:r>
        <w:rPr>
          <w:color w:val="1A1A2E"/>
          <w:sz w:val="22"/>
        </w:rPr>
        <w:t>The entire framework targets microservice infrastructure failures — service latency, error rates, CPU anomalies. Business-level KPI anomalies operate in a completely different domain with different data modalities, different causal structures, and different stakeholder requirements.</w:t>
      </w:r>
    </w:p>
    <w:p>
      <w:pPr>
        <w:spacing w:before="140" w:after="40"/>
      </w:pPr>
      <w:r>
        <w:rPr>
          <w:b/>
          <w:color w:val="1A1A2E"/>
          <w:sz w:val="22"/>
        </w:rPr>
        <w:t>Limitation 2: No Proactive Monitoring</w:t>
      </w:r>
    </w:p>
    <w:p>
      <w:pPr>
        <w:spacing w:before="0" w:after="100"/>
        <w:jc w:val="both"/>
      </w:pPr>
      <w:r>
        <w:rPr>
          <w:color w:val="1A1A2E"/>
          <w:sz w:val="22"/>
        </w:rPr>
        <w:t>The framework is triggered by an observed incident. It does not continuously monitor the system state or proactively alert operators when early warning signals appear before a full-scale incident occurs.</w:t>
      </w:r>
    </w:p>
    <w:p>
      <w:r>
        <w:br w:type="page"/>
      </w:r>
    </w:p>
    <w:p>
      <w:pPr>
        <w:spacing w:before="320" w:after="80"/>
        <w:pBdr>
          <w:bottom w:val="single" w:sz="8" w:space="1" w:color="0D47A1"/>
        </w:pBdr>
      </w:pPr>
      <w:r>
        <w:rPr>
          <w:b/>
          <w:color w:val="0D47A1"/>
          <w:sz w:val="32"/>
        </w:rPr>
        <w:t>PAPER 10</w:t>
      </w:r>
    </w:p>
    <w:p>
      <w:pPr>
        <w:spacing w:before="80" w:after="120"/>
        <w:jc w:val="center"/>
      </w:pPr>
      <w:r>
        <w:rPr>
          <w:b/>
          <w:color w:val="0D47A1"/>
          <w:sz w:val="26"/>
        </w:rPr>
        <w:t>Large Language Models for Causal Discovery: Current Landscape and Future Directions</w:t>
      </w:r>
    </w:p>
    <w:p>
      <w:pPr>
        <w:spacing w:before="200" w:after="60"/>
      </w:pPr>
      <w:r>
        <w:rPr>
          <w:b/>
          <w:color w:val="006E6E"/>
          <w:sz w:val="24"/>
        </w:rPr>
        <w:t>Paper Information</w:t>
      </w:r>
    </w:p>
    <w:tbl>
      <w:tblPr>
        <w:tblStyle w:val="TableGrid"/>
        <w:tblW w:type="auto" w:w="0"/>
        <w:jc w:val="left"/>
        <w:tblLook w:firstColumn="1" w:firstRow="1" w:lastColumn="0" w:lastRow="0" w:noHBand="0" w:noVBand="1" w:val="04A0"/>
      </w:tblPr>
      <w:tblGrid>
        <w:gridCol w:w="4514"/>
        <w:gridCol w:w="4514"/>
      </w:tblGrid>
      <w:tr>
        <w:tc>
          <w:tcPr>
            <w:tcW w:type="dxa" w:w="2448"/>
            <w:shd w:val="clear" w:color="auto" w:fill="0D47A1"/>
          </w:tcPr>
          <w:p>
            <w:r>
              <w:rPr>
                <w:b/>
                <w:color w:val="FFFFFF"/>
                <w:sz w:val="20"/>
              </w:rPr>
              <w:t>Full Title</w:t>
            </w:r>
          </w:p>
        </w:tc>
        <w:tc>
          <w:tcPr>
            <w:tcW w:type="dxa" w:w="7056"/>
            <w:shd w:val="clear" w:color="auto" w:fill="EEF4FF"/>
          </w:tcPr>
          <w:p>
            <w:r>
              <w:rPr>
                <w:color w:val="1A1A2E"/>
                <w:sz w:val="20"/>
              </w:rPr>
              <w:t>Large Language Models for Causal Discovery: Current Landscape and Future Directions</w:t>
            </w:r>
          </w:p>
        </w:tc>
      </w:tr>
      <w:tr>
        <w:tc>
          <w:tcPr>
            <w:tcW w:type="dxa" w:w="2448"/>
            <w:shd w:val="clear" w:color="auto" w:fill="0D47A1"/>
          </w:tcPr>
          <w:p>
            <w:r>
              <w:rPr>
                <w:b/>
                <w:color w:val="FFFFFF"/>
                <w:sz w:val="20"/>
              </w:rPr>
              <w:t>Authors</w:t>
            </w:r>
          </w:p>
        </w:tc>
        <w:tc>
          <w:tcPr>
            <w:tcW w:type="dxa" w:w="7056"/>
            <w:shd w:val="clear" w:color="auto" w:fill="FFFFFF"/>
          </w:tcPr>
          <w:p>
            <w:r>
              <w:rPr>
                <w:color w:val="1A1A2E"/>
                <w:sz w:val="20"/>
              </w:rPr>
              <w:t>Guangya Wan, Yunsheng Lu, Yuqi Wu, Mengxuan Hu, Sheng Li</w:t>
            </w:r>
          </w:p>
        </w:tc>
      </w:tr>
      <w:tr>
        <w:tc>
          <w:tcPr>
            <w:tcW w:type="dxa" w:w="2448"/>
            <w:shd w:val="clear" w:color="auto" w:fill="0D47A1"/>
          </w:tcPr>
          <w:p>
            <w:r>
              <w:rPr>
                <w:b/>
                <w:color w:val="FFFFFF"/>
                <w:sz w:val="20"/>
              </w:rPr>
              <w:t>Affiliation</w:t>
            </w:r>
          </w:p>
        </w:tc>
        <w:tc>
          <w:tcPr>
            <w:tcW w:type="dxa" w:w="7056"/>
            <w:shd w:val="clear" w:color="auto" w:fill="EEF4FF"/>
          </w:tcPr>
          <w:p>
            <w:r>
              <w:rPr>
                <w:color w:val="1A1A2E"/>
                <w:sz w:val="20"/>
              </w:rPr>
              <w:t>University of Georgia + Northeastern University</w:t>
            </w:r>
          </w:p>
        </w:tc>
      </w:tr>
      <w:tr>
        <w:tc>
          <w:tcPr>
            <w:tcW w:type="dxa" w:w="2448"/>
            <w:shd w:val="clear" w:color="auto" w:fill="0D47A1"/>
          </w:tcPr>
          <w:p>
            <w:r>
              <w:rPr>
                <w:b/>
                <w:color w:val="FFFFFF"/>
                <w:sz w:val="20"/>
              </w:rPr>
              <w:t>Published</w:t>
            </w:r>
          </w:p>
        </w:tc>
        <w:tc>
          <w:tcPr>
            <w:tcW w:type="dxa" w:w="7056"/>
            <w:shd w:val="clear" w:color="auto" w:fill="FFFFFF"/>
          </w:tcPr>
          <w:p>
            <w:r>
              <w:rPr>
                <w:color w:val="1A1A2E"/>
                <w:sz w:val="20"/>
              </w:rPr>
              <w:t>arXiv:2402.11068 — 2024, updated 2025</w:t>
            </w:r>
          </w:p>
        </w:tc>
      </w:tr>
      <w:tr>
        <w:tc>
          <w:tcPr>
            <w:tcW w:type="dxa" w:w="2448"/>
            <w:shd w:val="clear" w:color="auto" w:fill="0D47A1"/>
          </w:tcPr>
          <w:p>
            <w:r>
              <w:rPr>
                <w:b/>
                <w:color w:val="FFFFFF"/>
                <w:sz w:val="20"/>
              </w:rPr>
              <w:t>arXiv</w:t>
            </w:r>
          </w:p>
        </w:tc>
        <w:tc>
          <w:tcPr>
            <w:tcW w:type="dxa" w:w="7056"/>
            <w:shd w:val="clear" w:color="auto" w:fill="EEF4FF"/>
          </w:tcPr>
          <w:p>
            <w:r>
              <w:rPr>
                <w:color w:val="1A1A2E"/>
                <w:sz w:val="20"/>
              </w:rPr>
              <w:t>arXiv:2402.11068</w:t>
            </w:r>
          </w:p>
        </w:tc>
      </w:tr>
      <w:tr>
        <w:tc>
          <w:tcPr>
            <w:tcW w:type="dxa" w:w="2448"/>
            <w:shd w:val="clear" w:color="auto" w:fill="0D47A1"/>
          </w:tcPr>
          <w:p>
            <w:r>
              <w:rPr>
                <w:b/>
                <w:color w:val="FFFFFF"/>
                <w:sz w:val="20"/>
              </w:rPr>
              <w:t>Year</w:t>
            </w:r>
          </w:p>
        </w:tc>
        <w:tc>
          <w:tcPr>
            <w:tcW w:type="dxa" w:w="7056"/>
            <w:shd w:val="clear" w:color="auto" w:fill="FFFFFF"/>
          </w:tcPr>
          <w:p>
            <w:r>
              <w:rPr>
                <w:color w:val="1A1A2E"/>
                <w:sz w:val="20"/>
              </w:rPr>
              <w:t>2024-2025</w:t>
            </w:r>
          </w:p>
        </w:tc>
      </w:tr>
      <w:tr>
        <w:tc>
          <w:tcPr>
            <w:tcW w:type="dxa" w:w="2448"/>
            <w:shd w:val="clear" w:color="auto" w:fill="0D47A1"/>
          </w:tcPr>
          <w:p>
            <w:r>
              <w:rPr>
                <w:b/>
                <w:color w:val="FFFFFF"/>
                <w:sz w:val="20"/>
              </w:rPr>
              <w:t>Domain</w:t>
            </w:r>
          </w:p>
        </w:tc>
        <w:tc>
          <w:tcPr>
            <w:tcW w:type="dxa" w:w="7056"/>
            <w:shd w:val="clear" w:color="auto" w:fill="EEF4FF"/>
          </w:tcPr>
          <w:p>
            <w:r>
              <w:rPr>
                <w:color w:val="1A1A2E"/>
                <w:sz w:val="20"/>
              </w:rPr>
              <w:t>Survey — Causal Discovery — Large Language Models — AI Foundations</w:t>
            </w:r>
          </w:p>
        </w:tc>
      </w:tr>
    </w:tbl>
    <w:p/>
    <w:p>
      <w:pPr>
        <w:spacing w:before="200" w:after="60"/>
      </w:pPr>
      <w:r>
        <w:rPr>
          <w:b/>
          <w:color w:val="006E6E"/>
          <w:sz w:val="24"/>
        </w:rPr>
        <w:t>Detailed Summary</w:t>
      </w:r>
    </w:p>
    <w:p>
      <w:pPr>
        <w:spacing w:before="0" w:after="100"/>
        <w:jc w:val="both"/>
      </w:pPr>
      <w:r>
        <w:rPr>
          <w:color w:val="1A1A2E"/>
          <w:sz w:val="22"/>
        </w:rPr>
        <w:t>This comprehensive survey examines the intersection of causal discovery and large language models — two fields that have evolved largely independently. Causal discovery specialises in uncovering cause-effect relationships from data using algorithms like NOTEARS, PC, LiNGAM, and DYNOTEARS. LLMs specialise in natural language processing and generation. This survey analyses how their integration creates new opportunities.</w:t>
      </w:r>
    </w:p>
    <w:p>
      <w:pPr>
        <w:spacing w:before="0" w:after="100"/>
        <w:jc w:val="both"/>
      </w:pPr>
      <w:r>
        <w:rPr>
          <w:color w:val="1A1A2E"/>
          <w:sz w:val="22"/>
        </w:rPr>
        <w:t>The survey identifies three distinct ways LLMs are being used for causal discovery: (1) Direct causal extraction — using LLMs to read scientific text and extract causal claims; (2) Domain knowledge injection — using LLMs to provide priors about likely causal relationships that guide statistical algorithms; and (3) Causal structure refinement — using LLMs to post-process or validate causal graphs produced by statistical algorithms.</w:t>
      </w:r>
    </w:p>
    <w:p>
      <w:pPr>
        <w:spacing w:before="0" w:after="100"/>
        <w:jc w:val="both"/>
      </w:pPr>
      <w:r>
        <w:rPr>
          <w:color w:val="1A1A2E"/>
          <w:sz w:val="22"/>
        </w:rPr>
        <w:t>The paper provides an honest assessment: LLMs have impressive but unreliable causal capabilities. They can correctly identify many causal relationships from text and common knowledge, but they also make systematic errors — particularly on counterintuitive causal relationships and on domains where their training data is sparse.</w:t>
      </w:r>
    </w:p>
    <w:p>
      <w:pPr>
        <w:spacing w:before="200" w:after="60"/>
      </w:pPr>
      <w:r>
        <w:rPr>
          <w:b/>
          <w:color w:val="006E6E"/>
          <w:sz w:val="24"/>
        </w:rPr>
        <w:t>Key Technical Contributions</w:t>
      </w:r>
    </w:p>
    <w:p>
      <w:pPr>
        <w:spacing w:before="140" w:after="40"/>
      </w:pPr>
      <w:r>
        <w:rPr>
          <w:b/>
          <w:color w:val="1A1A2E"/>
          <w:sz w:val="22"/>
        </w:rPr>
        <w:t>Three-Dimensional Taxonomy</w:t>
      </w:r>
    </w:p>
    <w:p>
      <w:pPr>
        <w:spacing w:before="0" w:after="100"/>
        <w:jc w:val="both"/>
      </w:pPr>
      <w:r>
        <w:rPr>
          <w:color w:val="1A1A2E"/>
          <w:sz w:val="22"/>
        </w:rPr>
        <w:t>The survey's primary contribution is a systematic taxonomy of LLM-CD integration approaches, making it easier for practitioners to identify which approach is appropriate for their use case and data characteristics.</w:t>
      </w:r>
    </w:p>
    <w:p>
      <w:pPr>
        <w:spacing w:before="140" w:after="40"/>
      </w:pPr>
      <w:r>
        <w:rPr>
          <w:b/>
          <w:color w:val="1A1A2E"/>
          <w:sz w:val="22"/>
        </w:rPr>
        <w:t>Evaluation Framework</w:t>
      </w:r>
    </w:p>
    <w:p>
      <w:pPr>
        <w:spacing w:before="0" w:after="100"/>
        <w:jc w:val="both"/>
      </w:pPr>
      <w:r>
        <w:rPr>
          <w:color w:val="1A1A2E"/>
          <w:sz w:val="22"/>
        </w:rPr>
        <w:t>The paper proposes an evaluation framework for LLM-based causal discovery that distinguishes textual causal extraction (from scientific papers) from data-driven causal inference (from observational datasets), acknowledging that these are different capabilities with different quality metrics.</w:t>
      </w:r>
    </w:p>
    <w:p>
      <w:pPr>
        <w:spacing w:before="140" w:after="40"/>
      </w:pPr>
      <w:r>
        <w:rPr>
          <w:b/>
          <w:color w:val="1A1A2E"/>
          <w:sz w:val="22"/>
        </w:rPr>
        <w:t>Identification of Research Gaps</w:t>
      </w:r>
    </w:p>
    <w:p>
      <w:pPr>
        <w:spacing w:before="0" w:after="100"/>
        <w:jc w:val="both"/>
      </w:pPr>
      <w:r>
        <w:rPr>
          <w:color w:val="1A1A2E"/>
          <w:sz w:val="22"/>
        </w:rPr>
        <w:t>The survey identifies key open problems: robust benchmarks for LLM causal reasoning, methods for detecting when LLM causal claims are unreliable, and integration architectures that leverage LLM strengths while avoiding their weaknesses.</w:t>
      </w:r>
    </w:p>
    <w:p>
      <w:pPr>
        <w:spacing w:before="200" w:after="60"/>
      </w:pPr>
      <w:r>
        <w:rPr>
          <w:b/>
          <w:color w:val="006E6E"/>
          <w:sz w:val="24"/>
        </w:rPr>
        <w:t>Key Findings</w:t>
      </w:r>
    </w:p>
    <w:p>
      <w:pPr>
        <w:pStyle w:val="ListBullet"/>
        <w:spacing w:before="20" w:after="40"/>
        <w:ind w:left="432"/>
      </w:pPr>
      <w:r>
        <w:rPr>
          <w:color w:val="1A1A2E"/>
          <w:sz w:val="22"/>
        </w:rPr>
        <w:t>LLMs demonstrate surprising but inconsistent causal reasoning capabilities — they are not reliable experts but rather imperfect approximators of causal knowledge from training data.</w:t>
      </w:r>
    </w:p>
    <w:p>
      <w:pPr>
        <w:pStyle w:val="ListBullet"/>
        <w:spacing w:before="20" w:after="40"/>
        <w:ind w:left="432"/>
      </w:pPr>
      <w:r>
        <w:rPr>
          <w:color w:val="1A1A2E"/>
          <w:sz w:val="22"/>
        </w:rPr>
        <w:t>Domain knowledge injection (using LLMs to constrain or guide statistical causal discovery) is the most practically promising integration approach — it combines LLM world knowledge with the rigour of statistical algorithms.</w:t>
      </w:r>
    </w:p>
    <w:p>
      <w:pPr>
        <w:pStyle w:val="ListBullet"/>
        <w:spacing w:before="20" w:after="40"/>
        <w:ind w:left="432"/>
      </w:pPr>
      <w:r>
        <w:rPr>
          <w:color w:val="1A1A2E"/>
          <w:sz w:val="22"/>
        </w:rPr>
        <w:t>Direct causal extraction from text is reliable for well-documented causal relationships but fails on novel, counterintuitive, or sparsely documented relationships.</w:t>
      </w:r>
    </w:p>
    <w:p>
      <w:pPr>
        <w:pStyle w:val="ListBullet"/>
        <w:spacing w:before="20" w:after="40"/>
        <w:ind w:left="432"/>
      </w:pPr>
      <w:r>
        <w:rPr>
          <w:color w:val="1A1A2E"/>
          <w:sz w:val="22"/>
        </w:rPr>
        <w:t>The LLM-Modulo framework (using external causal engines for computation and LLMs only for language) is recommended as the safest architecture for high-stakes causal reasoning applications.</w:t>
      </w:r>
    </w:p>
    <w:p>
      <w:pPr>
        <w:spacing w:before="200" w:after="60"/>
      </w:pPr>
      <w:r>
        <w:rPr>
          <w:b/>
          <w:color w:val="006E6E"/>
          <w:sz w:val="24"/>
        </w:rPr>
        <w:t>Limitations and Research Gaps</w:t>
      </w:r>
    </w:p>
    <w:p>
      <w:pPr>
        <w:spacing w:before="140" w:after="40"/>
      </w:pPr>
      <w:r>
        <w:rPr>
          <w:b/>
          <w:color w:val="1A1A2E"/>
          <w:sz w:val="22"/>
        </w:rPr>
        <w:t>Limitation 1: Survey Only — No New Method</w:t>
      </w:r>
    </w:p>
    <w:p>
      <w:pPr>
        <w:spacing w:before="0" w:after="100"/>
        <w:jc w:val="both"/>
      </w:pPr>
      <w:r>
        <w:rPr>
          <w:color w:val="1A1A2E"/>
          <w:sz w:val="22"/>
        </w:rPr>
        <w:t>The paper is a survey and does not propose a new causal discovery algorithm or LLM integration method. Its contribution is taxonomic and analytical, not technical.</w:t>
      </w:r>
    </w:p>
    <w:p>
      <w:pPr>
        <w:spacing w:before="140" w:after="40"/>
      </w:pPr>
      <w:r>
        <w:rPr>
          <w:b/>
          <w:color w:val="1A1A2E"/>
          <w:sz w:val="22"/>
        </w:rPr>
        <w:t>Limitation 2: Business KPI Causal Discovery Not Covered</w:t>
      </w:r>
    </w:p>
    <w:p>
      <w:pPr>
        <w:spacing w:before="0" w:after="100"/>
        <w:jc w:val="both"/>
      </w:pPr>
      <w:r>
        <w:rPr>
          <w:color w:val="1A1A2E"/>
          <w:sz w:val="22"/>
        </w:rPr>
        <w:t>The survey covers general causal discovery — primarily from scientific and medical data. The specific challenges of causal discovery for business KPI time series — promotional confounders, calendar effects, seasonality removal before causal analysis — are not addressed.</w:t>
      </w:r>
    </w:p>
    <w:p>
      <w:r>
        <w:br w:type="page"/>
      </w:r>
    </w:p>
    <w:p>
      <w:pPr>
        <w:spacing w:before="320" w:after="80"/>
        <w:pBdr>
          <w:bottom w:val="single" w:sz="8" w:space="1" w:color="0D47A1"/>
        </w:pBdr>
      </w:pPr>
      <w:r>
        <w:rPr>
          <w:b/>
          <w:color w:val="0D47A1"/>
          <w:sz w:val="32"/>
        </w:rPr>
        <w:t>PAPER 11</w:t>
      </w:r>
    </w:p>
    <w:p>
      <w:pPr>
        <w:spacing w:before="80" w:after="120"/>
        <w:jc w:val="center"/>
      </w:pPr>
      <w:r>
        <w:rPr>
          <w:b/>
          <w:color w:val="0D47A1"/>
          <w:sz w:val="26"/>
        </w:rPr>
        <w:t>CausalPulse: Neurosymbolic Multi-Agent Copilot for Causal Diagnostics in Smart Manufacturing</w:t>
      </w:r>
    </w:p>
    <w:p>
      <w:pPr>
        <w:spacing w:before="200" w:after="60"/>
      </w:pPr>
      <w:r>
        <w:rPr>
          <w:b/>
          <w:color w:val="006E6E"/>
          <w:sz w:val="24"/>
        </w:rPr>
        <w:t>Paper Information</w:t>
      </w:r>
    </w:p>
    <w:tbl>
      <w:tblPr>
        <w:tblStyle w:val="TableGrid"/>
        <w:tblW w:type="auto" w:w="0"/>
        <w:jc w:val="left"/>
        <w:tblLook w:firstColumn="1" w:firstRow="1" w:lastColumn="0" w:lastRow="0" w:noHBand="0" w:noVBand="1" w:val="04A0"/>
      </w:tblPr>
      <w:tblGrid>
        <w:gridCol w:w="4514"/>
        <w:gridCol w:w="4514"/>
      </w:tblGrid>
      <w:tr>
        <w:tc>
          <w:tcPr>
            <w:tcW w:type="dxa" w:w="2448"/>
            <w:shd w:val="clear" w:color="auto" w:fill="0D47A1"/>
          </w:tcPr>
          <w:p>
            <w:r>
              <w:rPr>
                <w:b/>
                <w:color w:val="FFFFFF"/>
                <w:sz w:val="20"/>
              </w:rPr>
              <w:t>Full Title</w:t>
            </w:r>
          </w:p>
        </w:tc>
        <w:tc>
          <w:tcPr>
            <w:tcW w:type="dxa" w:w="7056"/>
            <w:shd w:val="clear" w:color="auto" w:fill="EEF4FF"/>
          </w:tcPr>
          <w:p>
            <w:r>
              <w:rPr>
                <w:color w:val="1A1A2E"/>
                <w:sz w:val="20"/>
              </w:rPr>
              <w:t>CausalPulse: An Industrial-Grade Neurosymbolic Multi-Agent Copilot for Causal Diagnostics in Smart Manufacturing</w:t>
            </w:r>
          </w:p>
        </w:tc>
      </w:tr>
      <w:tr>
        <w:tc>
          <w:tcPr>
            <w:tcW w:type="dxa" w:w="2448"/>
            <w:shd w:val="clear" w:color="auto" w:fill="0D47A1"/>
          </w:tcPr>
          <w:p>
            <w:r>
              <w:rPr>
                <w:b/>
                <w:color w:val="FFFFFF"/>
                <w:sz w:val="20"/>
              </w:rPr>
              <w:t>Authors</w:t>
            </w:r>
          </w:p>
        </w:tc>
        <w:tc>
          <w:tcPr>
            <w:tcW w:type="dxa" w:w="7056"/>
            <w:shd w:val="clear" w:color="auto" w:fill="FFFFFF"/>
          </w:tcPr>
          <w:p>
            <w:r>
              <w:rPr>
                <w:color w:val="1A1A2E"/>
                <w:sz w:val="20"/>
              </w:rPr>
              <w:t>Chathurangi Shyalika, Utkarshani Jaimini, Cory Henson, Amit Sheth</w:t>
            </w:r>
          </w:p>
        </w:tc>
      </w:tr>
      <w:tr>
        <w:tc>
          <w:tcPr>
            <w:tcW w:type="dxa" w:w="2448"/>
            <w:shd w:val="clear" w:color="auto" w:fill="0D47A1"/>
          </w:tcPr>
          <w:p>
            <w:r>
              <w:rPr>
                <w:b/>
                <w:color w:val="FFFFFF"/>
                <w:sz w:val="20"/>
              </w:rPr>
              <w:t>Affiliation</w:t>
            </w:r>
          </w:p>
        </w:tc>
        <w:tc>
          <w:tcPr>
            <w:tcW w:type="dxa" w:w="7056"/>
            <w:shd w:val="clear" w:color="auto" w:fill="EEF4FF"/>
          </w:tcPr>
          <w:p>
            <w:r>
              <w:rPr>
                <w:color w:val="1A1A2E"/>
                <w:sz w:val="20"/>
              </w:rPr>
              <w:t>University of South Carolina + Bosch Research</w:t>
            </w:r>
          </w:p>
        </w:tc>
      </w:tr>
      <w:tr>
        <w:tc>
          <w:tcPr>
            <w:tcW w:type="dxa" w:w="2448"/>
            <w:shd w:val="clear" w:color="auto" w:fill="0D47A1"/>
          </w:tcPr>
          <w:p>
            <w:r>
              <w:rPr>
                <w:b/>
                <w:color w:val="FFFFFF"/>
                <w:sz w:val="20"/>
              </w:rPr>
              <w:t>Published</w:t>
            </w:r>
          </w:p>
        </w:tc>
        <w:tc>
          <w:tcPr>
            <w:tcW w:type="dxa" w:w="7056"/>
            <w:shd w:val="clear" w:color="auto" w:fill="FFFFFF"/>
          </w:tcPr>
          <w:p>
            <w:r>
              <w:rPr>
                <w:color w:val="1A1A2E"/>
                <w:sz w:val="20"/>
              </w:rPr>
              <w:t>AAAI-MAKE 2026 (AAAI Spring Symposium)</w:t>
            </w:r>
          </w:p>
        </w:tc>
      </w:tr>
      <w:tr>
        <w:tc>
          <w:tcPr>
            <w:tcW w:type="dxa" w:w="2448"/>
            <w:shd w:val="clear" w:color="auto" w:fill="0D47A1"/>
          </w:tcPr>
          <w:p>
            <w:r>
              <w:rPr>
                <w:b/>
                <w:color w:val="FFFFFF"/>
                <w:sz w:val="20"/>
              </w:rPr>
              <w:t>arXiv</w:t>
            </w:r>
          </w:p>
        </w:tc>
        <w:tc>
          <w:tcPr>
            <w:tcW w:type="dxa" w:w="7056"/>
            <w:shd w:val="clear" w:color="auto" w:fill="EEF4FF"/>
          </w:tcPr>
          <w:p>
            <w:r>
              <w:rPr>
                <w:color w:val="1A1A2E"/>
                <w:sz w:val="20"/>
              </w:rPr>
              <w:t>arXiv:2603.29755</w:t>
            </w:r>
          </w:p>
        </w:tc>
      </w:tr>
      <w:tr>
        <w:tc>
          <w:tcPr>
            <w:tcW w:type="dxa" w:w="2448"/>
            <w:shd w:val="clear" w:color="auto" w:fill="0D47A1"/>
          </w:tcPr>
          <w:p>
            <w:r>
              <w:rPr>
                <w:b/>
                <w:color w:val="FFFFFF"/>
                <w:sz w:val="20"/>
              </w:rPr>
              <w:t>Year</w:t>
            </w:r>
          </w:p>
        </w:tc>
        <w:tc>
          <w:tcPr>
            <w:tcW w:type="dxa" w:w="7056"/>
            <w:shd w:val="clear" w:color="auto" w:fill="FFFFFF"/>
          </w:tcPr>
          <w:p>
            <w:r>
              <w:rPr>
                <w:color w:val="1A1A2E"/>
                <w:sz w:val="20"/>
              </w:rPr>
              <w:t>2026</w:t>
            </w:r>
          </w:p>
        </w:tc>
      </w:tr>
      <w:tr>
        <w:tc>
          <w:tcPr>
            <w:tcW w:type="dxa" w:w="2448"/>
            <w:shd w:val="clear" w:color="auto" w:fill="0D47A1"/>
          </w:tcPr>
          <w:p>
            <w:r>
              <w:rPr>
                <w:b/>
                <w:color w:val="FFFFFF"/>
                <w:sz w:val="20"/>
              </w:rPr>
              <w:t>Domain</w:t>
            </w:r>
          </w:p>
        </w:tc>
        <w:tc>
          <w:tcPr>
            <w:tcW w:type="dxa" w:w="7056"/>
            <w:shd w:val="clear" w:color="auto" w:fill="EEF4FF"/>
          </w:tcPr>
          <w:p>
            <w:r>
              <w:rPr>
                <w:color w:val="1A1A2E"/>
                <w:sz w:val="20"/>
              </w:rPr>
              <w:t>Smart Manufacturing — Neurosymbolic AI — Causal Diagnostics — Multi-Agent</w:t>
            </w:r>
          </w:p>
        </w:tc>
      </w:tr>
    </w:tbl>
    <w:p/>
    <w:p>
      <w:pPr>
        <w:spacing w:before="200" w:after="60"/>
      </w:pPr>
      <w:r>
        <w:rPr>
          <w:b/>
          <w:color w:val="006E6E"/>
          <w:sz w:val="24"/>
        </w:rPr>
        <w:t>Detailed Summary</w:t>
      </w:r>
    </w:p>
    <w:p>
      <w:pPr>
        <w:spacing w:before="0" w:after="100"/>
        <w:jc w:val="both"/>
      </w:pPr>
      <w:r>
        <w:rPr>
          <w:color w:val="1A1A2E"/>
          <w:sz w:val="22"/>
        </w:rPr>
        <w:t>CausalPulse addresses the fragmentation problem in industrial diagnostics — traditional analytics pipelines treat anomaly detection, causal inference, and root cause analysis as isolated stages, each requiring separate tools, separate expertise, and separate workflows. This fragmentation limits scalability and reduces explainability.</w:t>
      </w:r>
    </w:p>
    <w:p>
      <w:pPr>
        <w:spacing w:before="0" w:after="100"/>
        <w:jc w:val="both"/>
      </w:pPr>
      <w:r>
        <w:rPr>
          <w:color w:val="1A1A2E"/>
          <w:sz w:val="22"/>
        </w:rPr>
        <w:t>The system unifies these stages through a neurosymbolic architecture: neural components (LLMs, anomaly detectors) handle pattern recognition and natural language reasoning, while symbolic components (knowledge graphs, formal causal models) enforce logical consistency and provide interpretable explanations. Standardised agentic protocols (Model Context Protocol) enable seamless communication between agents.</w:t>
      </w:r>
    </w:p>
    <w:p>
      <w:pPr>
        <w:spacing w:before="0" w:after="100"/>
        <w:jc w:val="both"/>
      </w:pPr>
      <w:r>
        <w:rPr>
          <w:color w:val="1A1A2E"/>
          <w:sz w:val="22"/>
        </w:rPr>
        <w:t>CausalPulse has been deployed in a Robert Bosch manufacturing plant — making it one of the few published systems with verified industrial production deployment in this domain. It integrates with existing monitoring workflows and supports real-time operation at production scale.</w:t>
      </w:r>
    </w:p>
    <w:p>
      <w:pPr>
        <w:spacing w:before="200" w:after="60"/>
      </w:pPr>
      <w:r>
        <w:rPr>
          <w:b/>
          <w:color w:val="006E6E"/>
          <w:sz w:val="24"/>
        </w:rPr>
        <w:t>Key Technical Contributions</w:t>
      </w:r>
    </w:p>
    <w:p>
      <w:pPr>
        <w:spacing w:before="140" w:after="40"/>
      </w:pPr>
      <w:r>
        <w:rPr>
          <w:b/>
          <w:color w:val="1A1A2E"/>
          <w:sz w:val="22"/>
        </w:rPr>
        <w:t>Neurosymbolic Integration</w:t>
      </w:r>
    </w:p>
    <w:p>
      <w:pPr>
        <w:spacing w:before="0" w:after="100"/>
        <w:jc w:val="both"/>
      </w:pPr>
      <w:r>
        <w:rPr>
          <w:color w:val="1A1A2E"/>
          <w:sz w:val="22"/>
        </w:rPr>
        <w:t>The combination of neural pattern recognition with symbolic knowledge representation and formal causal modelling produces diagnostics that are both statistically grounded and logically interpretable. Pure neural approaches hallucinate; pure symbolic approaches cannot handle novel failure modes. The combination addresses both weaknesses.</w:t>
      </w:r>
    </w:p>
    <w:p>
      <w:pPr>
        <w:spacing w:before="140" w:after="40"/>
      </w:pPr>
      <w:r>
        <w:rPr>
          <w:b/>
          <w:color w:val="1A1A2E"/>
          <w:sz w:val="22"/>
        </w:rPr>
        <w:t>Standardised Agentic Protocols (MCP)</w:t>
      </w:r>
    </w:p>
    <w:p>
      <w:pPr>
        <w:spacing w:before="0" w:after="100"/>
        <w:jc w:val="both"/>
      </w:pPr>
      <w:r>
        <w:rPr>
          <w:color w:val="1A1A2E"/>
          <w:sz w:val="22"/>
        </w:rPr>
        <w:t>Using the Model Context Protocol for agent communication enables the system to integrate with any monitoring tool or knowledge base that supports the protocol. This standardisation reduces integration effort and makes CausalPulse extensible to new data sources without architectural changes.</w:t>
      </w:r>
    </w:p>
    <w:p>
      <w:pPr>
        <w:spacing w:before="140" w:after="40"/>
      </w:pPr>
      <w:r>
        <w:rPr>
          <w:b/>
          <w:color w:val="1A1A2E"/>
          <w:sz w:val="22"/>
        </w:rPr>
        <w:t>Human-in-the-Loop Design</w:t>
      </w:r>
    </w:p>
    <w:p>
      <w:pPr>
        <w:spacing w:before="0" w:after="100"/>
        <w:jc w:val="both"/>
      </w:pPr>
      <w:r>
        <w:rPr>
          <w:color w:val="1A1A2E"/>
          <w:sz w:val="22"/>
        </w:rPr>
        <w:t>The system includes structured checkpoints where human operators can review, confirm, or override agent diagnoses. This human-in-the-loop design is critical for safety-critical manufacturing environments where an incorrect automated diagnosis could cause physical harm or production loss.</w:t>
      </w:r>
    </w:p>
    <w:p>
      <w:pPr>
        <w:spacing w:before="200" w:after="60"/>
      </w:pPr>
      <w:r>
        <w:rPr>
          <w:b/>
          <w:color w:val="006E6E"/>
          <w:sz w:val="24"/>
        </w:rPr>
        <w:t>Key Findings</w:t>
      </w:r>
    </w:p>
    <w:p>
      <w:pPr>
        <w:pStyle w:val="ListBullet"/>
        <w:spacing w:before="20" w:after="40"/>
        <w:ind w:left="432"/>
      </w:pPr>
      <w:r>
        <w:rPr>
          <w:color w:val="1A1A2E"/>
          <w:sz w:val="22"/>
        </w:rPr>
        <w:t>Overall success rates of 98.0% and 98.73% on Future Factories and Planar Sensor Element datasets respectively.</w:t>
      </w:r>
    </w:p>
    <w:p>
      <w:pPr>
        <w:pStyle w:val="ListBullet"/>
        <w:spacing w:before="20" w:after="40"/>
        <w:ind w:left="432"/>
      </w:pPr>
      <w:r>
        <w:rPr>
          <w:color w:val="1A1A2E"/>
          <w:sz w:val="22"/>
        </w:rPr>
        <w:t>Per-criterion success: 98.75% planning and tool use, 97.3% self-reflection, 99.2% collaboration.</w:t>
      </w:r>
    </w:p>
    <w:p>
      <w:pPr>
        <w:pStyle w:val="ListBullet"/>
        <w:spacing w:before="20" w:after="40"/>
        <w:ind w:left="432"/>
      </w:pPr>
      <w:r>
        <w:rPr>
          <w:color w:val="1A1A2E"/>
          <w:sz w:val="22"/>
        </w:rPr>
        <w:t>End-to-end latency of 50-60 seconds with near-linear scalability (R²=0.97).</w:t>
      </w:r>
    </w:p>
    <w:p>
      <w:pPr>
        <w:pStyle w:val="ListBullet"/>
        <w:spacing w:before="20" w:after="40"/>
        <w:ind w:left="432"/>
      </w:pPr>
      <w:r>
        <w:rPr>
          <w:color w:val="1A1A2E"/>
          <w:sz w:val="22"/>
        </w:rPr>
        <w:t>Successfully deployed at a Robert Bosch manufacturing plant — verified production deployment.</w:t>
      </w:r>
    </w:p>
    <w:p>
      <w:pPr>
        <w:spacing w:before="200" w:after="60"/>
      </w:pPr>
      <w:r>
        <w:rPr>
          <w:b/>
          <w:color w:val="006E6E"/>
          <w:sz w:val="24"/>
        </w:rPr>
        <w:t>Limitations and Research Gaps</w:t>
      </w:r>
    </w:p>
    <w:p>
      <w:pPr>
        <w:spacing w:before="140" w:after="40"/>
      </w:pPr>
      <w:r>
        <w:rPr>
          <w:b/>
          <w:color w:val="1A1A2E"/>
          <w:sz w:val="22"/>
        </w:rPr>
        <w:t>Limitation 1: Manufacturing Domain — Not Business Intelligence</w:t>
      </w:r>
    </w:p>
    <w:p>
      <w:pPr>
        <w:spacing w:before="0" w:after="100"/>
        <w:jc w:val="both"/>
      </w:pPr>
      <w:r>
        <w:rPr>
          <w:color w:val="1A1A2E"/>
          <w:sz w:val="22"/>
        </w:rPr>
        <w:t>CausalPulse is designed for smart manufacturing — sensor anomalies, machine failures, production quality defects. The data modalities, causal structures, and diagnostic workflows are specific to physical manufacturing processes and cannot be directly applied to business KPI monitoring.</w:t>
      </w:r>
    </w:p>
    <w:p>
      <w:pPr>
        <w:spacing w:before="140" w:after="40"/>
      </w:pPr>
      <w:r>
        <w:rPr>
          <w:b/>
          <w:color w:val="1A1A2E"/>
          <w:sz w:val="22"/>
        </w:rPr>
        <w:t>Limitation 2: Human-in-the-Loop Creates Latency</w:t>
      </w:r>
    </w:p>
    <w:p>
      <w:pPr>
        <w:spacing w:before="0" w:after="100"/>
        <w:jc w:val="both"/>
      </w:pPr>
      <w:r>
        <w:rPr>
          <w:color w:val="1A1A2E"/>
          <w:sz w:val="22"/>
        </w:rPr>
        <w:t>The human review checkpoints, while necessary for safety, introduce latency that may be unacceptable for real-time business decision making. A business owner receiving a 5-minute-delayed Telegram alert has very different requirements from a factory engineer reviewing a diagnostic report.</w:t>
      </w:r>
    </w:p>
    <w:p>
      <w:r>
        <w:br w:type="page"/>
      </w:r>
    </w:p>
    <w:p>
      <w:pPr>
        <w:spacing w:before="320" w:after="80"/>
        <w:pBdr>
          <w:bottom w:val="single" w:sz="8" w:space="1" w:color="0D47A1"/>
        </w:pBdr>
      </w:pPr>
      <w:r>
        <w:rPr>
          <w:b/>
          <w:color w:val="0D47A1"/>
          <w:sz w:val="32"/>
        </w:rPr>
        <w:t>PAPER 12</w:t>
      </w:r>
    </w:p>
    <w:p>
      <w:pPr>
        <w:spacing w:before="80" w:after="120"/>
        <w:jc w:val="center"/>
      </w:pPr>
      <w:r>
        <w:rPr>
          <w:b/>
          <w:color w:val="0D47A1"/>
          <w:sz w:val="26"/>
        </w:rPr>
        <w:t>Agentic Root Cause Analysis through Evidence-Grounded Reasoning</w:t>
      </w:r>
    </w:p>
    <w:p>
      <w:pPr>
        <w:spacing w:before="200" w:after="60"/>
      </w:pPr>
      <w:r>
        <w:rPr>
          <w:b/>
          <w:color w:val="006E6E"/>
          <w:sz w:val="24"/>
        </w:rPr>
        <w:t>Paper Information</w:t>
      </w:r>
    </w:p>
    <w:tbl>
      <w:tblPr>
        <w:tblStyle w:val="TableGrid"/>
        <w:tblW w:type="auto" w:w="0"/>
        <w:jc w:val="left"/>
        <w:tblLook w:firstColumn="1" w:firstRow="1" w:lastColumn="0" w:lastRow="0" w:noHBand="0" w:noVBand="1" w:val="04A0"/>
      </w:tblPr>
      <w:tblGrid>
        <w:gridCol w:w="4514"/>
        <w:gridCol w:w="4514"/>
      </w:tblGrid>
      <w:tr>
        <w:tc>
          <w:tcPr>
            <w:tcW w:type="dxa" w:w="2448"/>
            <w:shd w:val="clear" w:color="auto" w:fill="0D47A1"/>
          </w:tcPr>
          <w:p>
            <w:r>
              <w:rPr>
                <w:b/>
                <w:color w:val="FFFFFF"/>
                <w:sz w:val="20"/>
              </w:rPr>
              <w:t>Full Title</w:t>
            </w:r>
          </w:p>
        </w:tc>
        <w:tc>
          <w:tcPr>
            <w:tcW w:type="dxa" w:w="7056"/>
            <w:shd w:val="clear" w:color="auto" w:fill="EEF4FF"/>
          </w:tcPr>
          <w:p>
            <w:r>
              <w:rPr>
                <w:color w:val="1A1A2E"/>
                <w:sz w:val="20"/>
              </w:rPr>
              <w:t>Agentic Root Cause Analysis through Evidence-Grounded Reasoning</w:t>
            </w:r>
          </w:p>
        </w:tc>
      </w:tr>
      <w:tr>
        <w:tc>
          <w:tcPr>
            <w:tcW w:type="dxa" w:w="2448"/>
            <w:shd w:val="clear" w:color="auto" w:fill="0D47A1"/>
          </w:tcPr>
          <w:p>
            <w:r>
              <w:rPr>
                <w:b/>
                <w:color w:val="FFFFFF"/>
                <w:sz w:val="20"/>
              </w:rPr>
              <w:t>Authors</w:t>
            </w:r>
          </w:p>
        </w:tc>
        <w:tc>
          <w:tcPr>
            <w:tcW w:type="dxa" w:w="7056"/>
            <w:shd w:val="clear" w:color="auto" w:fill="FFFFFF"/>
          </w:tcPr>
          <w:p>
            <w:r>
              <w:rPr>
                <w:color w:val="1A1A2E"/>
                <w:sz w:val="20"/>
              </w:rPr>
              <w:t>Amaury Wei, Olga Fink</w:t>
            </w:r>
          </w:p>
        </w:tc>
      </w:tr>
      <w:tr>
        <w:tc>
          <w:tcPr>
            <w:tcW w:type="dxa" w:w="2448"/>
            <w:shd w:val="clear" w:color="auto" w:fill="0D47A1"/>
          </w:tcPr>
          <w:p>
            <w:r>
              <w:rPr>
                <w:b/>
                <w:color w:val="FFFFFF"/>
                <w:sz w:val="20"/>
              </w:rPr>
              <w:t>Affiliation</w:t>
            </w:r>
          </w:p>
        </w:tc>
        <w:tc>
          <w:tcPr>
            <w:tcW w:type="dxa" w:w="7056"/>
            <w:shd w:val="clear" w:color="auto" w:fill="EEF4FF"/>
          </w:tcPr>
          <w:p>
            <w:r>
              <w:rPr>
                <w:color w:val="1A1A2E"/>
                <w:sz w:val="20"/>
              </w:rPr>
              <w:t>EPFL — École Polytechnique Fédérale de Lausanne, Switzerland</w:t>
            </w:r>
          </w:p>
        </w:tc>
      </w:tr>
      <w:tr>
        <w:tc>
          <w:tcPr>
            <w:tcW w:type="dxa" w:w="2448"/>
            <w:shd w:val="clear" w:color="auto" w:fill="0D47A1"/>
          </w:tcPr>
          <w:p>
            <w:r>
              <w:rPr>
                <w:b/>
                <w:color w:val="FFFFFF"/>
                <w:sz w:val="20"/>
              </w:rPr>
              <w:t>Published</w:t>
            </w:r>
          </w:p>
        </w:tc>
        <w:tc>
          <w:tcPr>
            <w:tcW w:type="dxa" w:w="7056"/>
            <w:shd w:val="clear" w:color="auto" w:fill="FFFFFF"/>
          </w:tcPr>
          <w:p>
            <w:r>
              <w:rPr>
                <w:color w:val="1A1A2E"/>
                <w:sz w:val="20"/>
              </w:rPr>
              <w:t>arXiv:2607.22385 — July 2026</w:t>
            </w:r>
          </w:p>
        </w:tc>
      </w:tr>
      <w:tr>
        <w:tc>
          <w:tcPr>
            <w:tcW w:type="dxa" w:w="2448"/>
            <w:shd w:val="clear" w:color="auto" w:fill="0D47A1"/>
          </w:tcPr>
          <w:p>
            <w:r>
              <w:rPr>
                <w:b/>
                <w:color w:val="FFFFFF"/>
                <w:sz w:val="20"/>
              </w:rPr>
              <w:t>arXiv</w:t>
            </w:r>
          </w:p>
        </w:tc>
        <w:tc>
          <w:tcPr>
            <w:tcW w:type="dxa" w:w="7056"/>
            <w:shd w:val="clear" w:color="auto" w:fill="EEF4FF"/>
          </w:tcPr>
          <w:p>
            <w:r>
              <w:rPr>
                <w:color w:val="1A1A2E"/>
                <w:sz w:val="20"/>
              </w:rPr>
              <w:t>arXiv:2607.22385</w:t>
            </w:r>
          </w:p>
        </w:tc>
      </w:tr>
      <w:tr>
        <w:tc>
          <w:tcPr>
            <w:tcW w:type="dxa" w:w="2448"/>
            <w:shd w:val="clear" w:color="auto" w:fill="0D47A1"/>
          </w:tcPr>
          <w:p>
            <w:r>
              <w:rPr>
                <w:b/>
                <w:color w:val="FFFFFF"/>
                <w:sz w:val="20"/>
              </w:rPr>
              <w:t>Year</w:t>
            </w:r>
          </w:p>
        </w:tc>
        <w:tc>
          <w:tcPr>
            <w:tcW w:type="dxa" w:w="7056"/>
            <w:shd w:val="clear" w:color="auto" w:fill="FFFFFF"/>
          </w:tcPr>
          <w:p>
            <w:r>
              <w:rPr>
                <w:color w:val="1A1A2E"/>
                <w:sz w:val="20"/>
              </w:rPr>
              <w:t>2026</w:t>
            </w:r>
          </w:p>
        </w:tc>
      </w:tr>
      <w:tr>
        <w:tc>
          <w:tcPr>
            <w:tcW w:type="dxa" w:w="2448"/>
            <w:shd w:val="clear" w:color="auto" w:fill="0D47A1"/>
          </w:tcPr>
          <w:p>
            <w:r>
              <w:rPr>
                <w:b/>
                <w:color w:val="FFFFFF"/>
                <w:sz w:val="20"/>
              </w:rPr>
              <w:t>Domain</w:t>
            </w:r>
          </w:p>
        </w:tc>
        <w:tc>
          <w:tcPr>
            <w:tcW w:type="dxa" w:w="7056"/>
            <w:shd w:val="clear" w:color="auto" w:fill="EEF4FF"/>
          </w:tcPr>
          <w:p>
            <w:r>
              <w:rPr>
                <w:color w:val="1A1A2E"/>
                <w:sz w:val="20"/>
              </w:rPr>
              <w:t>AI — Industrial RCA — Zero-Shot Agents — Digital Twins</w:t>
            </w:r>
          </w:p>
        </w:tc>
      </w:tr>
    </w:tbl>
    <w:p/>
    <w:p>
      <w:pPr>
        <w:spacing w:before="200" w:after="60"/>
      </w:pPr>
      <w:r>
        <w:rPr>
          <w:b/>
          <w:color w:val="006E6E"/>
          <w:sz w:val="24"/>
        </w:rPr>
        <w:t>Detailed Summary</w:t>
      </w:r>
    </w:p>
    <w:p>
      <w:pPr>
        <w:spacing w:before="0" w:after="100"/>
        <w:jc w:val="both"/>
      </w:pPr>
      <w:r>
        <w:rPr>
          <w:color w:val="1A1A2E"/>
          <w:sz w:val="22"/>
        </w:rPr>
        <w:t>AgentRCA addresses two critical limitations that have prevented autonomous RCA systems from industrial deployment: black-box diagnosis that cannot justify its conclusions, and the requirement for scarce labeled examples of faulty operation. Current data-driven RCA approaches train on historical fault data — but in practice, most industrial systems fail in novel ways not represented in historical records.</w:t>
      </w:r>
    </w:p>
    <w:p>
      <w:pPr>
        <w:spacing w:before="0" w:after="100"/>
        <w:jc w:val="both"/>
      </w:pPr>
      <w:r>
        <w:rPr>
          <w:color w:val="1A1A2E"/>
          <w:sz w:val="22"/>
        </w:rPr>
        <w:t>AgentRCA takes a fundamentally different approach: zero-shot inference-time reasoning. Instead of learning fault-specific mappings from training data, it combines a data-driven digital twin (a model of normal system dynamics) with a tool-augmented LLM. The digital twin provides a precise model of how the system behaves under normal conditions. When an anomaly occurs, the LLM agent queries the digital twin to evaluate competing hypotheses — 'if the pump bearing is failing, what would the vibration and temperature signatures look like?' — and selects the hypothesis most consistent with observed evidence.</w:t>
      </w:r>
    </w:p>
    <w:p>
      <w:pPr>
        <w:spacing w:before="200" w:after="60"/>
      </w:pPr>
      <w:r>
        <w:rPr>
          <w:b/>
          <w:color w:val="006E6E"/>
          <w:sz w:val="24"/>
        </w:rPr>
        <w:t>Key Technical Contributions</w:t>
      </w:r>
    </w:p>
    <w:p>
      <w:pPr>
        <w:spacing w:before="140" w:after="40"/>
      </w:pPr>
      <w:r>
        <w:rPr>
          <w:b/>
          <w:color w:val="1A1A2E"/>
          <w:sz w:val="22"/>
        </w:rPr>
        <w:t>Digital Twin as Evidence Oracle</w:t>
      </w:r>
    </w:p>
    <w:p>
      <w:pPr>
        <w:spacing w:before="0" w:after="100"/>
        <w:jc w:val="both"/>
      </w:pPr>
      <w:r>
        <w:rPr>
          <w:color w:val="1A1A2E"/>
          <w:sz w:val="22"/>
        </w:rPr>
        <w:t>Using a digital twin as an evidence oracle is the key innovation. The digital twin can answer counterfactual questions — 'what would metrics look like if fault X were occurring?' — that no historical dataset can provide. This eliminates the need for labeled fault examples.</w:t>
      </w:r>
    </w:p>
    <w:p>
      <w:pPr>
        <w:spacing w:before="140" w:after="40"/>
      </w:pPr>
      <w:r>
        <w:rPr>
          <w:b/>
          <w:color w:val="1A1A2E"/>
          <w:sz w:val="22"/>
        </w:rPr>
        <w:t>Evidence-Grounded Reasoning</w:t>
      </w:r>
    </w:p>
    <w:p>
      <w:pPr>
        <w:spacing w:before="0" w:after="100"/>
        <w:jc w:val="both"/>
      </w:pPr>
      <w:r>
        <w:rPr>
          <w:color w:val="1A1A2E"/>
          <w:sz w:val="22"/>
        </w:rPr>
        <w:t>Rather than generating a diagnosis from pattern matching, the agent iteratively gathers statistical evidence, evaluates competing hypotheses against this evidence, and selects the diagnosis that best explains all observed symptoms. This produces transparent reasoning traces that explicitly link observations to conclusions.</w:t>
      </w:r>
    </w:p>
    <w:p>
      <w:pPr>
        <w:spacing w:before="140" w:after="40"/>
      </w:pPr>
      <w:r>
        <w:rPr>
          <w:b/>
          <w:color w:val="1A1A2E"/>
          <w:sz w:val="22"/>
        </w:rPr>
        <w:t>Zero-Shot Generalisation</w:t>
      </w:r>
    </w:p>
    <w:p>
      <w:pPr>
        <w:spacing w:before="0" w:after="100"/>
        <w:jc w:val="both"/>
      </w:pPr>
      <w:r>
        <w:rPr>
          <w:color w:val="1A1A2E"/>
          <w:sz w:val="22"/>
        </w:rPr>
        <w:t>Because the approach uses inference-time reasoning rather than trained fault classifiers, it generalises to novel fault types not seen during system development — a critical capability for industrial systems where new failure modes are regularly encountered.</w:t>
      </w:r>
    </w:p>
    <w:p>
      <w:pPr>
        <w:spacing w:before="200" w:after="60"/>
      </w:pPr>
      <w:r>
        <w:rPr>
          <w:b/>
          <w:color w:val="006E6E"/>
          <w:sz w:val="24"/>
        </w:rPr>
        <w:t>Key Findings</w:t>
      </w:r>
    </w:p>
    <w:p>
      <w:pPr>
        <w:pStyle w:val="ListBullet"/>
        <w:spacing w:before="20" w:after="40"/>
        <w:ind w:left="432"/>
      </w:pPr>
      <w:r>
        <w:rPr>
          <w:color w:val="1A1A2E"/>
          <w:sz w:val="22"/>
        </w:rPr>
        <w:t>Achieves diagnostic performance competitive with fully supervised baselines without any fault-specific training data.</w:t>
      </w:r>
    </w:p>
    <w:p>
      <w:pPr>
        <w:pStyle w:val="ListBullet"/>
        <w:spacing w:before="20" w:after="40"/>
        <w:ind w:left="432"/>
      </w:pPr>
      <w:r>
        <w:rPr>
          <w:color w:val="1A1A2E"/>
          <w:sz w:val="22"/>
        </w:rPr>
        <w:t>Produces transparent reasoning traces that explicitly link observed symptoms to physical root causes — a significant advantage for operator trust and regulatory compliance.</w:t>
      </w:r>
    </w:p>
    <w:p>
      <w:pPr>
        <w:pStyle w:val="ListBullet"/>
        <w:spacing w:before="20" w:after="40"/>
        <w:ind w:left="432"/>
      </w:pPr>
      <w:r>
        <w:rPr>
          <w:color w:val="1A1A2E"/>
          <w:sz w:val="22"/>
        </w:rPr>
        <w:t>Evaluated on a real-world multiphase-flow facility and a large-scale chemical plant — two distinct industrial settings.</w:t>
      </w:r>
    </w:p>
    <w:p>
      <w:pPr>
        <w:pStyle w:val="ListBullet"/>
        <w:spacing w:before="20" w:after="40"/>
        <w:ind w:left="432"/>
      </w:pPr>
      <w:r>
        <w:rPr>
          <w:color w:val="1A1A2E"/>
          <w:sz w:val="22"/>
        </w:rPr>
        <w:t>Demonstrates zero-shot generalisation to novel fault types not represented in any historical dataset.</w:t>
      </w:r>
    </w:p>
    <w:p>
      <w:pPr>
        <w:spacing w:before="200" w:after="60"/>
      </w:pPr>
      <w:r>
        <w:rPr>
          <w:b/>
          <w:color w:val="006E6E"/>
          <w:sz w:val="24"/>
        </w:rPr>
        <w:t>Limitations and Research Gaps</w:t>
      </w:r>
    </w:p>
    <w:p>
      <w:pPr>
        <w:spacing w:before="140" w:after="40"/>
      </w:pPr>
      <w:r>
        <w:rPr>
          <w:b/>
          <w:color w:val="1A1A2E"/>
          <w:sz w:val="22"/>
        </w:rPr>
        <w:t>Limitation 1: Physical Industrial Systems Only</w:t>
      </w:r>
    </w:p>
    <w:p>
      <w:pPr>
        <w:spacing w:before="0" w:after="100"/>
        <w:jc w:val="both"/>
      </w:pPr>
      <w:r>
        <w:rPr>
          <w:color w:val="1A1A2E"/>
          <w:sz w:val="22"/>
        </w:rPr>
        <w:t>AgentRCA is designed for physical industrial systems with sensor networks and digital twins — chemical plants, manufacturing facilities, energy systems. It does not apply to business intelligence where the 'system' being monitored is an organisation's commercial performance, not a physical machine.</w:t>
      </w:r>
    </w:p>
    <w:p>
      <w:pPr>
        <w:spacing w:before="140" w:after="40"/>
      </w:pPr>
      <w:r>
        <w:rPr>
          <w:b/>
          <w:color w:val="1A1A2E"/>
          <w:sz w:val="22"/>
        </w:rPr>
        <w:t>Limitation 2: Digital Twin Prerequisite</w:t>
      </w:r>
    </w:p>
    <w:p>
      <w:pPr>
        <w:spacing w:before="0" w:after="100"/>
        <w:jc w:val="both"/>
      </w:pPr>
      <w:r>
        <w:rPr>
          <w:color w:val="1A1A2E"/>
          <w:sz w:val="22"/>
        </w:rPr>
        <w:t>The approach requires a pre-built digital twin of the monitored system. Building such a twin requires domain engineering expertise, historical sensor data, and system modelling — a significant barrier that most business monitoring use cases cannot meet.</w:t>
      </w:r>
    </w:p>
    <w:p>
      <w:r>
        <w:br w:type="page"/>
      </w:r>
    </w:p>
    <w:p>
      <w:pPr>
        <w:spacing w:before="320" w:after="80"/>
        <w:pBdr>
          <w:bottom w:val="single" w:sz="8" w:space="1" w:color="0D47A1"/>
        </w:pBdr>
      </w:pPr>
      <w:r>
        <w:rPr>
          <w:b/>
          <w:color w:val="0D47A1"/>
          <w:sz w:val="32"/>
        </w:rPr>
        <w:t>PAPER 13</w:t>
      </w:r>
    </w:p>
    <w:p>
      <w:pPr>
        <w:spacing w:before="80" w:after="120"/>
        <w:jc w:val="center"/>
      </w:pPr>
      <w:r>
        <w:rPr>
          <w:b/>
          <w:color w:val="0D47A1"/>
          <w:sz w:val="26"/>
        </w:rPr>
        <w:t>Springer Paper — DOI: 10.1007/s40747-025-02096-0</w:t>
      </w:r>
    </w:p>
    <w:p>
      <w:pPr>
        <w:spacing w:before="200" w:after="60"/>
      </w:pPr>
      <w:r>
        <w:rPr>
          <w:b/>
          <w:color w:val="006E6E"/>
          <w:sz w:val="24"/>
        </w:rPr>
        <w:t>Paper Information</w:t>
      </w:r>
    </w:p>
    <w:tbl>
      <w:tblPr>
        <w:tblStyle w:val="TableGrid"/>
        <w:tblW w:type="auto" w:w="0"/>
        <w:jc w:val="left"/>
        <w:tblLook w:firstColumn="1" w:firstRow="1" w:lastColumn="0" w:lastRow="0" w:noHBand="0" w:noVBand="1" w:val="04A0"/>
      </w:tblPr>
      <w:tblGrid>
        <w:gridCol w:w="4514"/>
        <w:gridCol w:w="4514"/>
      </w:tblGrid>
      <w:tr>
        <w:tc>
          <w:tcPr>
            <w:tcW w:type="dxa" w:w="2448"/>
            <w:shd w:val="clear" w:color="auto" w:fill="0D47A1"/>
          </w:tcPr>
          <w:p>
            <w:r>
              <w:rPr>
                <w:b/>
                <w:color w:val="FFFFFF"/>
                <w:sz w:val="20"/>
              </w:rPr>
              <w:t>DOI</w:t>
            </w:r>
          </w:p>
        </w:tc>
        <w:tc>
          <w:tcPr>
            <w:tcW w:type="dxa" w:w="7056"/>
            <w:shd w:val="clear" w:color="auto" w:fill="EEF4FF"/>
          </w:tcPr>
          <w:p>
            <w:r>
              <w:rPr>
                <w:color w:val="1A1A2E"/>
                <w:sz w:val="20"/>
              </w:rPr>
              <w:t>10.1007/s40747-025-02096-0</w:t>
            </w:r>
          </w:p>
        </w:tc>
      </w:tr>
      <w:tr>
        <w:tc>
          <w:tcPr>
            <w:tcW w:type="dxa" w:w="2448"/>
            <w:shd w:val="clear" w:color="auto" w:fill="0D47A1"/>
          </w:tcPr>
          <w:p>
            <w:r>
              <w:rPr>
                <w:b/>
                <w:color w:val="FFFFFF"/>
                <w:sz w:val="20"/>
              </w:rPr>
              <w:t>Journal</w:t>
            </w:r>
          </w:p>
        </w:tc>
        <w:tc>
          <w:tcPr>
            <w:tcW w:type="dxa" w:w="7056"/>
            <w:shd w:val="clear" w:color="auto" w:fill="FFFFFF"/>
          </w:tcPr>
          <w:p>
            <w:r>
              <w:rPr>
                <w:color w:val="1A1A2E"/>
                <w:sz w:val="20"/>
              </w:rPr>
              <w:t>Complex &amp; Intelligent Systems (Springer) — 2025</w:t>
            </w:r>
          </w:p>
        </w:tc>
      </w:tr>
      <w:tr>
        <w:tc>
          <w:tcPr>
            <w:tcW w:type="dxa" w:w="2448"/>
            <w:shd w:val="clear" w:color="auto" w:fill="0D47A1"/>
          </w:tcPr>
          <w:p>
            <w:r>
              <w:rPr>
                <w:b/>
                <w:color w:val="FFFFFF"/>
                <w:sz w:val="20"/>
              </w:rPr>
              <w:t>Access Status</w:t>
            </w:r>
          </w:p>
        </w:tc>
        <w:tc>
          <w:tcPr>
            <w:tcW w:type="dxa" w:w="7056"/>
            <w:shd w:val="clear" w:color="auto" w:fill="EEF4FF"/>
          </w:tcPr>
          <w:p>
            <w:r>
              <w:rPr>
                <w:color w:val="1A1A2E"/>
                <w:sz w:val="20"/>
              </w:rPr>
              <w:t>Restricted — login required for full text</w:t>
            </w:r>
          </w:p>
        </w:tc>
      </w:tr>
      <w:tr>
        <w:tc>
          <w:tcPr>
            <w:tcW w:type="dxa" w:w="2448"/>
            <w:shd w:val="clear" w:color="auto" w:fill="0D47A1"/>
          </w:tcPr>
          <w:p>
            <w:r>
              <w:rPr>
                <w:b/>
                <w:color w:val="FFFFFF"/>
                <w:sz w:val="20"/>
              </w:rPr>
              <w:t>Note</w:t>
            </w:r>
          </w:p>
        </w:tc>
        <w:tc>
          <w:tcPr>
            <w:tcW w:type="dxa" w:w="7056"/>
            <w:shd w:val="clear" w:color="auto" w:fill="FFFFFF"/>
          </w:tcPr>
          <w:p>
            <w:r>
              <w:rPr>
                <w:color w:val="1A1A2E"/>
                <w:sz w:val="20"/>
              </w:rPr>
              <w:t>Paper identified in the literature by the user. Full summary pending access.</w:t>
            </w:r>
          </w:p>
        </w:tc>
      </w:tr>
    </w:tbl>
    <w:p/>
    <w:p>
      <w:pPr>
        <w:spacing w:before="200" w:after="60"/>
      </w:pPr>
      <w:r>
        <w:rPr>
          <w:b/>
          <w:color w:val="006E6E"/>
          <w:sz w:val="24"/>
        </w:rPr>
        <w:t>Available Information</w:t>
      </w:r>
    </w:p>
    <w:p>
      <w:pPr>
        <w:spacing w:before="0" w:after="100"/>
        <w:jc w:val="both"/>
      </w:pPr>
      <w:r>
        <w:rPr>
          <w:color w:val="1A1A2E"/>
          <w:sz w:val="22"/>
        </w:rPr>
        <w:t>The DOI 10.1007/s40747-025-02096-0 corresponds to a paper published in Complex &amp; Intelligent Systems (Springer), which covers intelligent systems, AI agents, machine learning, and complex adaptive systems. The year 2025 and the journal scope suggest this paper likely addresses agent-based systems for data analysis, anomaly detection, or intelligent decision-making — consistent with the KAIROS research context. A full summary will be added once the paper is accessed through the institutional library.</w:t>
      </w:r>
    </w:p>
    <w:p>
      <w:pPr>
        <w:spacing w:before="200" w:after="60"/>
      </w:pPr>
      <w:r>
        <w:rPr>
          <w:b/>
          <w:color w:val="006E6E"/>
          <w:sz w:val="24"/>
        </w:rPr>
        <w:t>Recommended Action</w:t>
      </w:r>
    </w:p>
    <w:p>
      <w:pPr>
        <w:pStyle w:val="ListBullet"/>
        <w:spacing w:before="20" w:after="40"/>
        <w:ind w:left="432"/>
      </w:pPr>
      <w:r>
        <w:rPr>
          <w:color w:val="1A1A2E"/>
          <w:sz w:val="22"/>
        </w:rPr>
        <w:t>Access through Woxsen University library portal or request through inter-library loan.</w:t>
      </w:r>
    </w:p>
    <w:p>
      <w:pPr>
        <w:pStyle w:val="ListBullet"/>
        <w:spacing w:before="20" w:after="40"/>
        <w:ind w:left="432"/>
      </w:pPr>
      <w:r>
        <w:rPr>
          <w:color w:val="1A1A2E"/>
          <w:sz w:val="22"/>
        </w:rPr>
        <w:t>Search the DOI on Google Scholar for a freely available preprint version on ResearchGate or the authors' institutional pages.</w:t>
      </w:r>
    </w:p>
    <w:p>
      <w:r>
        <w:br w:type="page"/>
      </w:r>
    </w:p>
    <w:p>
      <w:pPr>
        <w:spacing w:before="320" w:after="80"/>
        <w:pBdr>
          <w:bottom w:val="single" w:sz="8" w:space="1" w:color="0D47A1"/>
        </w:pBdr>
      </w:pPr>
      <w:r>
        <w:rPr>
          <w:b/>
          <w:color w:val="0D47A1"/>
          <w:sz w:val="32"/>
        </w:rPr>
        <w:t>PAPER 14</w:t>
      </w:r>
    </w:p>
    <w:p>
      <w:pPr>
        <w:spacing w:before="80" w:after="120"/>
        <w:jc w:val="center"/>
      </w:pPr>
      <w:r>
        <w:rPr>
          <w:b/>
          <w:color w:val="0D47A1"/>
          <w:sz w:val="26"/>
        </w:rPr>
        <w:t>ScienceDirect Paper — ISSN 0306-4573 (Information Processing &amp; Management)</w:t>
      </w:r>
    </w:p>
    <w:p>
      <w:pPr>
        <w:spacing w:before="200" w:after="60"/>
      </w:pPr>
      <w:r>
        <w:rPr>
          <w:b/>
          <w:color w:val="006E6E"/>
          <w:sz w:val="24"/>
        </w:rPr>
        <w:t>Paper Information</w:t>
      </w:r>
    </w:p>
    <w:tbl>
      <w:tblPr>
        <w:tblStyle w:val="TableGrid"/>
        <w:tblW w:type="auto" w:w="0"/>
        <w:jc w:val="left"/>
        <w:tblLook w:firstColumn="1" w:firstRow="1" w:lastColumn="0" w:lastRow="0" w:noHBand="0" w:noVBand="1" w:val="04A0"/>
      </w:tblPr>
      <w:tblGrid>
        <w:gridCol w:w="4514"/>
        <w:gridCol w:w="4514"/>
      </w:tblGrid>
      <w:tr>
        <w:tc>
          <w:tcPr>
            <w:tcW w:type="dxa" w:w="2448"/>
            <w:shd w:val="clear" w:color="auto" w:fill="0D47A1"/>
          </w:tcPr>
          <w:p>
            <w:r>
              <w:rPr>
                <w:b/>
                <w:color w:val="FFFFFF"/>
                <w:sz w:val="20"/>
              </w:rPr>
              <w:t>Reference</w:t>
            </w:r>
          </w:p>
        </w:tc>
        <w:tc>
          <w:tcPr>
            <w:tcW w:type="dxa" w:w="7056"/>
            <w:shd w:val="clear" w:color="auto" w:fill="EEF4FF"/>
          </w:tcPr>
          <w:p>
            <w:r>
              <w:rPr>
                <w:color w:val="1A1A2E"/>
                <w:sz w:val="20"/>
              </w:rPr>
              <w:t>S0306457325001438</w:t>
            </w:r>
          </w:p>
        </w:tc>
      </w:tr>
      <w:tr>
        <w:tc>
          <w:tcPr>
            <w:tcW w:type="dxa" w:w="2448"/>
            <w:shd w:val="clear" w:color="auto" w:fill="0D47A1"/>
          </w:tcPr>
          <w:p>
            <w:r>
              <w:rPr>
                <w:b/>
                <w:color w:val="FFFFFF"/>
                <w:sz w:val="20"/>
              </w:rPr>
              <w:t>Journal</w:t>
            </w:r>
          </w:p>
        </w:tc>
        <w:tc>
          <w:tcPr>
            <w:tcW w:type="dxa" w:w="7056"/>
            <w:shd w:val="clear" w:color="auto" w:fill="FFFFFF"/>
          </w:tcPr>
          <w:p>
            <w:r>
              <w:rPr>
                <w:color w:val="1A1A2E"/>
                <w:sz w:val="20"/>
              </w:rPr>
              <w:t>Information Processing &amp; Management (Elsevier) — 2025</w:t>
            </w:r>
          </w:p>
        </w:tc>
      </w:tr>
      <w:tr>
        <w:tc>
          <w:tcPr>
            <w:tcW w:type="dxa" w:w="2448"/>
            <w:shd w:val="clear" w:color="auto" w:fill="0D47A1"/>
          </w:tcPr>
          <w:p>
            <w:r>
              <w:rPr>
                <w:b/>
                <w:color w:val="FFFFFF"/>
                <w:sz w:val="20"/>
              </w:rPr>
              <w:t>ISSN</w:t>
            </w:r>
          </w:p>
        </w:tc>
        <w:tc>
          <w:tcPr>
            <w:tcW w:type="dxa" w:w="7056"/>
            <w:shd w:val="clear" w:color="auto" w:fill="EEF4FF"/>
          </w:tcPr>
          <w:p>
            <w:r>
              <w:rPr>
                <w:color w:val="1A1A2E"/>
                <w:sz w:val="20"/>
              </w:rPr>
              <w:t>0306-4573</w:t>
            </w:r>
          </w:p>
        </w:tc>
      </w:tr>
      <w:tr>
        <w:tc>
          <w:tcPr>
            <w:tcW w:type="dxa" w:w="2448"/>
            <w:shd w:val="clear" w:color="auto" w:fill="0D47A1"/>
          </w:tcPr>
          <w:p>
            <w:r>
              <w:rPr>
                <w:b/>
                <w:color w:val="FFFFFF"/>
                <w:sz w:val="20"/>
              </w:rPr>
              <w:t>Access Status</w:t>
            </w:r>
          </w:p>
        </w:tc>
        <w:tc>
          <w:tcPr>
            <w:tcW w:type="dxa" w:w="7056"/>
            <w:shd w:val="clear" w:color="auto" w:fill="FFFFFF"/>
          </w:tcPr>
          <w:p>
            <w:r>
              <w:rPr>
                <w:color w:val="1A1A2E"/>
                <w:sz w:val="20"/>
              </w:rPr>
              <w:t>Restricted — login required for full text</w:t>
            </w:r>
          </w:p>
        </w:tc>
      </w:tr>
      <w:tr>
        <w:tc>
          <w:tcPr>
            <w:tcW w:type="dxa" w:w="2448"/>
            <w:shd w:val="clear" w:color="auto" w:fill="0D47A1"/>
          </w:tcPr>
          <w:p>
            <w:r>
              <w:rPr>
                <w:b/>
                <w:color w:val="FFFFFF"/>
                <w:sz w:val="20"/>
              </w:rPr>
              <w:t>Note</w:t>
            </w:r>
          </w:p>
        </w:tc>
        <w:tc>
          <w:tcPr>
            <w:tcW w:type="dxa" w:w="7056"/>
            <w:shd w:val="clear" w:color="auto" w:fill="EEF4FF"/>
          </w:tcPr>
          <w:p>
            <w:r>
              <w:rPr>
                <w:color w:val="1A1A2E"/>
                <w:sz w:val="20"/>
              </w:rPr>
              <w:t>Paper identified in the literature by the user. Full summary pending access.</w:t>
            </w:r>
          </w:p>
        </w:tc>
      </w:tr>
    </w:tbl>
    <w:p/>
    <w:p>
      <w:pPr>
        <w:spacing w:before="200" w:after="60"/>
      </w:pPr>
      <w:r>
        <w:rPr>
          <w:b/>
          <w:color w:val="006E6E"/>
          <w:sz w:val="24"/>
        </w:rPr>
        <w:t>Available Information</w:t>
      </w:r>
    </w:p>
    <w:p>
      <w:pPr>
        <w:spacing w:before="0" w:after="100"/>
        <w:jc w:val="both"/>
      </w:pPr>
      <w:r>
        <w:rPr>
          <w:color w:val="1A1A2E"/>
          <w:sz w:val="22"/>
        </w:rPr>
        <w:t>The reference S0306457325001438 corresponds to a paper in Information Processing &amp; Management (Elsevier) — a journal covering information retrieval, text mining, knowledge management, and data-driven decision support. Published in 2025, this paper is likely relevant to intelligent information extraction, automated analytics, or knowledge-based systems. A full summary will be added once the paper is accessed through the institutional library.</w:t>
      </w:r>
    </w:p>
    <w:p>
      <w:pPr>
        <w:spacing w:before="200" w:after="60"/>
      </w:pPr>
      <w:r>
        <w:rPr>
          <w:b/>
          <w:color w:val="006E6E"/>
          <w:sz w:val="24"/>
        </w:rPr>
        <w:t>Recommended Action</w:t>
      </w:r>
    </w:p>
    <w:p>
      <w:pPr>
        <w:pStyle w:val="ListBullet"/>
        <w:spacing w:before="20" w:after="40"/>
        <w:ind w:left="432"/>
      </w:pPr>
      <w:r>
        <w:rPr>
          <w:color w:val="1A1A2E"/>
          <w:sz w:val="22"/>
        </w:rPr>
        <w:t>Access through Woxsen University library portal or Elsevier ScienceDirect institutional subscription.</w:t>
      </w:r>
    </w:p>
    <w:p>
      <w:pPr>
        <w:pStyle w:val="ListBullet"/>
        <w:spacing w:before="20" w:after="40"/>
        <w:ind w:left="432"/>
      </w:pPr>
      <w:r>
        <w:rPr>
          <w:color w:val="1A1A2E"/>
          <w:sz w:val="22"/>
        </w:rPr>
        <w:t>Search the PISSN-based reference on Semantic Scholar or Google Scholar for author-posted preprint.</w:t>
      </w:r>
    </w:p>
    <w:p>
      <w:r>
        <w:br w:type="page"/>
      </w:r>
    </w:p>
    <w:p>
      <w:pPr>
        <w:spacing w:before="320" w:after="80"/>
        <w:pBdr>
          <w:bottom w:val="single" w:sz="8" w:space="1" w:color="0D47A1"/>
        </w:pBdr>
      </w:pPr>
      <w:r>
        <w:rPr>
          <w:b/>
          <w:color w:val="0D47A1"/>
          <w:sz w:val="32"/>
        </w:rPr>
        <w:t>MASTER SUMMARY TABLE — All Papers</w:t>
      </w:r>
    </w:p>
    <w:p>
      <w:pPr>
        <w:spacing w:before="0" w:after="100"/>
        <w:jc w:val="both"/>
      </w:pPr>
      <w:r>
        <w:rPr>
          <w:color w:val="1A1A2E"/>
          <w:sz w:val="22"/>
        </w:rPr>
        <w:t>This table summarises all papers reviewed, including the two from the previous document (Anomaly Transformer and AIDA), for quick reference during literature review writing.</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504"/>
            <w:shd w:val="clear" w:color="auto" w:fill="0D47A1"/>
          </w:tcPr>
          <w:p>
            <w:pPr>
              <w:jc w:val="center"/>
            </w:pPr>
            <w:r>
              <w:rPr>
                <w:b/>
                <w:color w:val="FFFFFF"/>
                <w:sz w:val="17"/>
              </w:rPr>
              <w:t>S.No</w:t>
            </w:r>
          </w:p>
        </w:tc>
        <w:tc>
          <w:tcPr>
            <w:tcW w:type="dxa" w:w="2160"/>
            <w:shd w:val="clear" w:color="auto" w:fill="0D47A1"/>
          </w:tcPr>
          <w:p>
            <w:pPr>
              <w:jc w:val="center"/>
            </w:pPr>
            <w:r>
              <w:rPr>
                <w:b/>
                <w:color w:val="FFFFFF"/>
                <w:sz w:val="17"/>
              </w:rPr>
              <w:t>Title</w:t>
            </w:r>
          </w:p>
        </w:tc>
        <w:tc>
          <w:tcPr>
            <w:tcW w:type="dxa" w:w="1584"/>
            <w:shd w:val="clear" w:color="auto" w:fill="0D47A1"/>
          </w:tcPr>
          <w:p>
            <w:pPr>
              <w:jc w:val="center"/>
            </w:pPr>
            <w:r>
              <w:rPr>
                <w:b/>
                <w:color w:val="FFFFFF"/>
                <w:sz w:val="17"/>
              </w:rPr>
              <w:t>Authors</w:t>
            </w:r>
          </w:p>
        </w:tc>
        <w:tc>
          <w:tcPr>
            <w:tcW w:type="dxa" w:w="720"/>
            <w:shd w:val="clear" w:color="auto" w:fill="0D47A1"/>
          </w:tcPr>
          <w:p>
            <w:pPr>
              <w:jc w:val="center"/>
            </w:pPr>
            <w:r>
              <w:rPr>
                <w:b/>
                <w:color w:val="FFFFFF"/>
                <w:sz w:val="17"/>
              </w:rPr>
              <w:t>Year</w:t>
            </w:r>
          </w:p>
        </w:tc>
        <w:tc>
          <w:tcPr>
            <w:tcW w:type="dxa" w:w="3168"/>
            <w:shd w:val="clear" w:color="auto" w:fill="0D47A1"/>
          </w:tcPr>
          <w:p>
            <w:pPr>
              <w:jc w:val="center"/>
            </w:pPr>
            <w:r>
              <w:rPr>
                <w:b/>
                <w:color w:val="FFFFFF"/>
                <w:sz w:val="17"/>
              </w:rPr>
              <w:t>Key Findings (2 points)</w:t>
            </w:r>
          </w:p>
        </w:tc>
        <w:tc>
          <w:tcPr>
            <w:tcW w:type="dxa" w:w="2880"/>
            <w:shd w:val="clear" w:color="auto" w:fill="0D47A1"/>
          </w:tcPr>
          <w:p>
            <w:pPr>
              <w:jc w:val="center"/>
            </w:pPr>
            <w:r>
              <w:rPr>
                <w:b/>
                <w:color w:val="FFFFFF"/>
                <w:sz w:val="17"/>
              </w:rPr>
              <w:t>Research Gap (2 points)</w:t>
            </w:r>
          </w:p>
        </w:tc>
      </w:tr>
      <w:tr>
        <w:tc>
          <w:tcPr>
            <w:tcW w:type="dxa" w:w="504"/>
            <w:shd w:val="clear" w:color="auto" w:fill="EEF4FF"/>
          </w:tcPr>
          <w:p>
            <w:r>
              <w:rPr>
                <w:color w:val="1A1A2E"/>
                <w:sz w:val="16"/>
              </w:rPr>
              <w:t>1</w:t>
            </w:r>
          </w:p>
        </w:tc>
        <w:tc>
          <w:tcPr>
            <w:tcW w:type="dxa" w:w="2160"/>
            <w:shd w:val="clear" w:color="auto" w:fill="EEF4FF"/>
          </w:tcPr>
          <w:p>
            <w:r>
              <w:rPr>
                <w:color w:val="1A1A2E"/>
                <w:sz w:val="16"/>
              </w:rPr>
              <w:t>Anomaly Transformer</w:t>
            </w:r>
          </w:p>
        </w:tc>
        <w:tc>
          <w:tcPr>
            <w:tcW w:type="dxa" w:w="1584"/>
            <w:shd w:val="clear" w:color="auto" w:fill="EEF4FF"/>
          </w:tcPr>
          <w:p>
            <w:r>
              <w:rPr>
                <w:color w:val="1A1A2E"/>
                <w:sz w:val="16"/>
              </w:rPr>
              <w:t>Xu et al. (Tsinghua)</w:t>
            </w:r>
          </w:p>
        </w:tc>
        <w:tc>
          <w:tcPr>
            <w:tcW w:type="dxa" w:w="720"/>
            <w:shd w:val="clear" w:color="auto" w:fill="EEF4FF"/>
          </w:tcPr>
          <w:p>
            <w:r>
              <w:rPr>
                <w:color w:val="1A1A2E"/>
                <w:sz w:val="16"/>
              </w:rPr>
              <w:t>2022</w:t>
            </w:r>
          </w:p>
        </w:tc>
        <w:tc>
          <w:tcPr>
            <w:tcW w:type="dxa" w:w="3168"/>
            <w:shd w:val="clear" w:color="auto" w:fill="EEF4FF"/>
          </w:tcPr>
          <w:p>
            <w:r>
              <w:rPr>
                <w:color w:val="1A1A2E"/>
                <w:sz w:val="16"/>
              </w:rPr>
              <w:t>1. Association Discrepancy: anomalous points concentrate on adjacent associations; normal points build global ones — unsupervised detection without labels. 2. Minimax training + Anomaly-Attention; SOTA F1 on 6 benchmarks (SMD, MSL, SMAP, SWaT, WADI, PSM).</w:t>
            </w:r>
          </w:p>
        </w:tc>
        <w:tc>
          <w:tcPr>
            <w:tcW w:type="dxa" w:w="2880"/>
            <w:shd w:val="clear" w:color="auto" w:fill="EEF4FF"/>
          </w:tcPr>
          <w:p>
            <w:r>
              <w:rPr>
                <w:color w:val="1A1A2E"/>
                <w:sz w:val="16"/>
              </w:rPr>
              <w:t>1. Evaluated on industrial/sensor data only — never on business KPIs like revenue or churn. 2. Detects anomaly existence but provides no root cause explanation or pipeline integration.</w:t>
            </w:r>
          </w:p>
        </w:tc>
      </w:tr>
      <w:tr>
        <w:tc>
          <w:tcPr>
            <w:tcW w:type="dxa" w:w="504"/>
            <w:shd w:val="clear" w:color="auto" w:fill="FFFFFF"/>
          </w:tcPr>
          <w:p>
            <w:r>
              <w:rPr>
                <w:color w:val="1A1A2E"/>
                <w:sz w:val="16"/>
              </w:rPr>
              <w:t>2</w:t>
            </w:r>
          </w:p>
        </w:tc>
        <w:tc>
          <w:tcPr>
            <w:tcW w:type="dxa" w:w="2160"/>
            <w:shd w:val="clear" w:color="auto" w:fill="FFFFFF"/>
          </w:tcPr>
          <w:p>
            <w:r>
              <w:rPr>
                <w:color w:val="1A1A2E"/>
                <w:sz w:val="16"/>
              </w:rPr>
              <w:t>Towards Autonomous BI via AIDA</w:t>
            </w:r>
          </w:p>
        </w:tc>
        <w:tc>
          <w:tcPr>
            <w:tcW w:type="dxa" w:w="1584"/>
            <w:shd w:val="clear" w:color="auto" w:fill="FFFFFF"/>
          </w:tcPr>
          <w:p>
            <w:r>
              <w:rPr>
                <w:color w:val="1A1A2E"/>
                <w:sz w:val="16"/>
              </w:rPr>
              <w:t>Wu et al. (Alibaba)</w:t>
            </w:r>
          </w:p>
        </w:tc>
        <w:tc>
          <w:tcPr>
            <w:tcW w:type="dxa" w:w="720"/>
            <w:shd w:val="clear" w:color="auto" w:fill="FFFFFF"/>
          </w:tcPr>
          <w:p>
            <w:r>
              <w:rPr>
                <w:color w:val="1A1A2E"/>
                <w:sz w:val="16"/>
              </w:rPr>
              <w:t>2026</w:t>
            </w:r>
          </w:p>
        </w:tc>
        <w:tc>
          <w:tcPr>
            <w:tcW w:type="dxa" w:w="3168"/>
            <w:shd w:val="clear" w:color="auto" w:fill="FFFFFF"/>
          </w:tcPr>
          <w:p>
            <w:r>
              <w:rPr>
                <w:color w:val="1A1A2E"/>
                <w:sz w:val="16"/>
              </w:rPr>
              <w:t>1. First end-to-end autonomous BI agent using MDP state quintuple; 8B RL model outperforms 32B baseline after 15 steps; 70% fewer hallucinations. 2. Pareto-guided RL with Discovery Gain reward and dual masking prevents reward hacking.</w:t>
            </w:r>
          </w:p>
        </w:tc>
        <w:tc>
          <w:tcPr>
            <w:tcW w:type="dxa" w:w="2880"/>
            <w:shd w:val="clear" w:color="auto" w:fill="FFFFFF"/>
          </w:tcPr>
          <w:p>
            <w:r>
              <w:rPr>
                <w:color w:val="1A1A2E"/>
                <w:sz w:val="16"/>
              </w:rPr>
              <w:t>1. Fully reactive — requires human question to start; no autonomous anomaly detection. 2. Single proprietary retail domain; zero causal reasoning — finds correlations only, not root causes.</w:t>
            </w:r>
          </w:p>
        </w:tc>
      </w:tr>
      <w:tr>
        <w:tc>
          <w:tcPr>
            <w:tcW w:type="dxa" w:w="504"/>
            <w:shd w:val="clear" w:color="auto" w:fill="EEF4FF"/>
          </w:tcPr>
          <w:p>
            <w:r>
              <w:rPr>
                <w:color w:val="1A1A2E"/>
                <w:sz w:val="16"/>
              </w:rPr>
              <w:t>3</w:t>
            </w:r>
          </w:p>
        </w:tc>
        <w:tc>
          <w:tcPr>
            <w:tcW w:type="dxa" w:w="2160"/>
            <w:shd w:val="clear" w:color="auto" w:fill="EEF4FF"/>
          </w:tcPr>
          <w:p>
            <w:r>
              <w:rPr>
                <w:color w:val="1A1A2E"/>
                <w:sz w:val="16"/>
              </w:rPr>
              <w:t>ReAct: Reasoning and Acting</w:t>
            </w:r>
          </w:p>
        </w:tc>
        <w:tc>
          <w:tcPr>
            <w:tcW w:type="dxa" w:w="1584"/>
            <w:shd w:val="clear" w:color="auto" w:fill="EEF4FF"/>
          </w:tcPr>
          <w:p>
            <w:r>
              <w:rPr>
                <w:color w:val="1A1A2E"/>
                <w:sz w:val="16"/>
              </w:rPr>
              <w:t>Yao et al. (Princeton/Google)</w:t>
            </w:r>
          </w:p>
        </w:tc>
        <w:tc>
          <w:tcPr>
            <w:tcW w:type="dxa" w:w="720"/>
            <w:shd w:val="clear" w:color="auto" w:fill="EEF4FF"/>
          </w:tcPr>
          <w:p>
            <w:r>
              <w:rPr>
                <w:color w:val="1A1A2E"/>
                <w:sz w:val="16"/>
              </w:rPr>
              <w:t>2023</w:t>
            </w:r>
          </w:p>
        </w:tc>
        <w:tc>
          <w:tcPr>
            <w:tcW w:type="dxa" w:w="3168"/>
            <w:shd w:val="clear" w:color="auto" w:fill="EEF4FF"/>
          </w:tcPr>
          <w:p>
            <w:r>
              <w:rPr>
                <w:color w:val="1A1A2E"/>
                <w:sz w:val="16"/>
              </w:rPr>
              <w:t>1. First Thought-Action-Observation loop; interleaves reasoning and tool use; reduces hallucination by 8% vs CoT on HotPotQA. 2. Foundation for all modern LLM agents; +34% on ALFWorld and +10% on WebShop vs RL baselines.</w:t>
            </w:r>
          </w:p>
        </w:tc>
        <w:tc>
          <w:tcPr>
            <w:tcW w:type="dxa" w:w="2880"/>
            <w:shd w:val="clear" w:color="auto" w:fill="EEF4FF"/>
          </w:tcPr>
          <w:p>
            <w:r>
              <w:rPr>
                <w:color w:val="1A1A2E"/>
                <w:sz w:val="16"/>
              </w:rPr>
              <w:t>1. Relies on manually designed reasoning trajectories; fails when external tools return bad results. 2. Single-agent, reactive only; no multi-agent support, no long-term memory, no autonomous planning.</w:t>
            </w:r>
          </w:p>
        </w:tc>
      </w:tr>
      <w:tr>
        <w:tc>
          <w:tcPr>
            <w:tcW w:type="dxa" w:w="504"/>
            <w:shd w:val="clear" w:color="auto" w:fill="FFFFFF"/>
          </w:tcPr>
          <w:p>
            <w:r>
              <w:rPr>
                <w:color w:val="1A1A2E"/>
                <w:sz w:val="16"/>
              </w:rPr>
              <w:t>4</w:t>
            </w:r>
          </w:p>
        </w:tc>
        <w:tc>
          <w:tcPr>
            <w:tcW w:type="dxa" w:w="2160"/>
            <w:shd w:val="clear" w:color="auto" w:fill="FFFFFF"/>
          </w:tcPr>
          <w:p>
            <w:r>
              <w:rPr>
                <w:color w:val="1A1A2E"/>
                <w:sz w:val="16"/>
              </w:rPr>
              <w:t>InsightPilot</w:t>
            </w:r>
          </w:p>
        </w:tc>
        <w:tc>
          <w:tcPr>
            <w:tcW w:type="dxa" w:w="1584"/>
            <w:shd w:val="clear" w:color="auto" w:fill="FFFFFF"/>
          </w:tcPr>
          <w:p>
            <w:r>
              <w:rPr>
                <w:color w:val="1A1A2E"/>
                <w:sz w:val="16"/>
              </w:rPr>
              <w:t>Ma et al. (Microsoft Research)</w:t>
            </w:r>
          </w:p>
        </w:tc>
        <w:tc>
          <w:tcPr>
            <w:tcW w:type="dxa" w:w="720"/>
            <w:shd w:val="clear" w:color="auto" w:fill="FFFFFF"/>
          </w:tcPr>
          <w:p>
            <w:r>
              <w:rPr>
                <w:color w:val="1A1A2E"/>
                <w:sz w:val="16"/>
              </w:rPr>
              <w:t>2023</w:t>
            </w:r>
          </w:p>
        </w:tc>
        <w:tc>
          <w:tcPr>
            <w:tcW w:type="dxa" w:w="3168"/>
            <w:shd w:val="clear" w:color="auto" w:fill="FFFFFF"/>
          </w:tcPr>
          <w:p>
            <w:r>
              <w:rPr>
                <w:color w:val="1A1A2E"/>
                <w:sz w:val="16"/>
              </w:rPr>
              <w:t>1. LLM + Insight Engine for automated EDA using 4 actions (Understand, Summarize, Compare, Explain); grounded insights via IQuery abstraction. 2. Outperformed Code Interpreter and LangChain Pandas Agent in relevance and completeness.</w:t>
            </w:r>
          </w:p>
        </w:tc>
        <w:tc>
          <w:tcPr>
            <w:tcW w:type="dxa" w:w="2880"/>
            <w:shd w:val="clear" w:color="auto" w:fill="FFFFFF"/>
          </w:tcPr>
          <w:p>
            <w:r>
              <w:rPr>
                <w:color w:val="1A1A2E"/>
                <w:sz w:val="16"/>
              </w:rPr>
              <w:t>1. Only 4 predefined actions — cannot handle open-ended or custom analyses. 2. Reactive; requires user to start every session; no real-time monitoring or proactive alerting.</w:t>
            </w:r>
          </w:p>
        </w:tc>
      </w:tr>
      <w:tr>
        <w:tc>
          <w:tcPr>
            <w:tcW w:type="dxa" w:w="504"/>
            <w:shd w:val="clear" w:color="auto" w:fill="EEF4FF"/>
          </w:tcPr>
          <w:p>
            <w:r>
              <w:rPr>
                <w:color w:val="1A1A2E"/>
                <w:sz w:val="16"/>
              </w:rPr>
              <w:t>5</w:t>
            </w:r>
          </w:p>
        </w:tc>
        <w:tc>
          <w:tcPr>
            <w:tcW w:type="dxa" w:w="2160"/>
            <w:shd w:val="clear" w:color="auto" w:fill="EEF4FF"/>
          </w:tcPr>
          <w:p>
            <w:r>
              <w:rPr>
                <w:color w:val="1A1A2E"/>
                <w:sz w:val="16"/>
              </w:rPr>
              <w:t>Data-Copilot</w:t>
            </w:r>
          </w:p>
        </w:tc>
        <w:tc>
          <w:tcPr>
            <w:tcW w:type="dxa" w:w="1584"/>
            <w:shd w:val="clear" w:color="auto" w:fill="EEF4FF"/>
          </w:tcPr>
          <w:p>
            <w:r>
              <w:rPr>
                <w:color w:val="1A1A2E"/>
                <w:sz w:val="16"/>
              </w:rPr>
              <w:t>Zhang et al. (Zhejiang U)</w:t>
            </w:r>
          </w:p>
        </w:tc>
        <w:tc>
          <w:tcPr>
            <w:tcW w:type="dxa" w:w="720"/>
            <w:shd w:val="clear" w:color="auto" w:fill="EEF4FF"/>
          </w:tcPr>
          <w:p>
            <w:r>
              <w:rPr>
                <w:color w:val="1A1A2E"/>
                <w:sz w:val="16"/>
              </w:rPr>
              <w:t>2024</w:t>
            </w:r>
          </w:p>
        </w:tc>
        <w:tc>
          <w:tcPr>
            <w:tcW w:type="dxa" w:w="3168"/>
            <w:shd w:val="clear" w:color="auto" w:fill="EEF4FF"/>
          </w:tcPr>
          <w:p>
            <w:r>
              <w:rPr>
                <w:color w:val="1A1A2E"/>
                <w:sz w:val="16"/>
              </w:rPr>
              <w:t>1. Two-stage workflow (Interface Design + Dispatch) with reusable interfaces; 40% token reduction vs code generation. 2. Outperformed ReAct, Reflexion, Multi-Agent on large-scale Chinese financial data.</w:t>
            </w:r>
          </w:p>
        </w:tc>
        <w:tc>
          <w:tcPr>
            <w:tcW w:type="dxa" w:w="2880"/>
            <w:shd w:val="clear" w:color="auto" w:fill="EEF4FF"/>
          </w:tcPr>
          <w:p>
            <w:r>
              <w:rPr>
                <w:color w:val="1A1A2E"/>
                <w:sz w:val="16"/>
              </w:rPr>
              <w:t>1. Financial domain only; interface design and validation are domain-specific. 2. Cannot create new interfaces after deployment; no real-time streaming or cross-session memory.</w:t>
            </w:r>
          </w:p>
        </w:tc>
      </w:tr>
      <w:tr>
        <w:tc>
          <w:tcPr>
            <w:tcW w:type="dxa" w:w="504"/>
            <w:shd w:val="clear" w:color="auto" w:fill="FFFFFF"/>
          </w:tcPr>
          <w:p>
            <w:r>
              <w:rPr>
                <w:color w:val="1A1A2E"/>
                <w:sz w:val="16"/>
              </w:rPr>
              <w:t>6</w:t>
            </w:r>
          </w:p>
        </w:tc>
        <w:tc>
          <w:tcPr>
            <w:tcW w:type="dxa" w:w="2160"/>
            <w:shd w:val="clear" w:color="auto" w:fill="FFFFFF"/>
          </w:tcPr>
          <w:p>
            <w:r>
              <w:rPr>
                <w:color w:val="1A1A2E"/>
                <w:sz w:val="16"/>
              </w:rPr>
              <w:t>Causal-Copilot</w:t>
            </w:r>
          </w:p>
        </w:tc>
        <w:tc>
          <w:tcPr>
            <w:tcW w:type="dxa" w:w="1584"/>
            <w:shd w:val="clear" w:color="auto" w:fill="FFFFFF"/>
          </w:tcPr>
          <w:p>
            <w:r>
              <w:rPr>
                <w:color w:val="1A1A2E"/>
                <w:sz w:val="16"/>
              </w:rPr>
              <w:t>Zhang et al.</w:t>
            </w:r>
          </w:p>
        </w:tc>
        <w:tc>
          <w:tcPr>
            <w:tcW w:type="dxa" w:w="720"/>
            <w:shd w:val="clear" w:color="auto" w:fill="FFFFFF"/>
          </w:tcPr>
          <w:p>
            <w:r>
              <w:rPr>
                <w:color w:val="1A1A2E"/>
                <w:sz w:val="16"/>
              </w:rPr>
              <w:t>2025</w:t>
            </w:r>
          </w:p>
        </w:tc>
        <w:tc>
          <w:tcPr>
            <w:tcW w:type="dxa" w:w="3168"/>
            <w:shd w:val="clear" w:color="auto" w:fill="FFFFFF"/>
          </w:tcPr>
          <w:p>
            <w:r>
              <w:rPr>
                <w:color w:val="1A1A2E"/>
                <w:sz w:val="16"/>
              </w:rPr>
              <w:t>1. LLM auto-selects causal algorithms (PC, LiNGAM, NOTEARS, DYNOTEARS) based on data characteristics. 2. Robust performance across variable counts, sample sizes, time lags, and edge densities.</w:t>
            </w:r>
          </w:p>
        </w:tc>
        <w:tc>
          <w:tcPr>
            <w:tcW w:type="dxa" w:w="2880"/>
            <w:shd w:val="clear" w:color="auto" w:fill="FFFFFF"/>
          </w:tcPr>
          <w:p>
            <w:r>
              <w:rPr>
                <w:color w:val="1A1A2E"/>
                <w:sz w:val="16"/>
              </w:rPr>
              <w:t>1. Uses existing algorithms only — no new causal discovery method proposed. 2. Static datasets only; no real-time streaming; no integration with anomaly detection.</w:t>
            </w:r>
          </w:p>
        </w:tc>
      </w:tr>
      <w:tr>
        <w:tc>
          <w:tcPr>
            <w:tcW w:type="dxa" w:w="504"/>
            <w:shd w:val="clear" w:color="auto" w:fill="EEF4FF"/>
          </w:tcPr>
          <w:p>
            <w:r>
              <w:rPr>
                <w:color w:val="1A1A2E"/>
                <w:sz w:val="16"/>
              </w:rPr>
              <w:t>7</w:t>
            </w:r>
          </w:p>
        </w:tc>
        <w:tc>
          <w:tcPr>
            <w:tcW w:type="dxa" w:w="2160"/>
            <w:shd w:val="clear" w:color="auto" w:fill="EEF4FF"/>
          </w:tcPr>
          <w:p>
            <w:r>
              <w:rPr>
                <w:color w:val="1A1A2E"/>
                <w:sz w:val="16"/>
              </w:rPr>
              <w:t>BIRD Benchmark</w:t>
            </w:r>
          </w:p>
        </w:tc>
        <w:tc>
          <w:tcPr>
            <w:tcW w:type="dxa" w:w="1584"/>
            <w:shd w:val="clear" w:color="auto" w:fill="EEF4FF"/>
          </w:tcPr>
          <w:p>
            <w:r>
              <w:rPr>
                <w:color w:val="1A1A2E"/>
                <w:sz w:val="16"/>
              </w:rPr>
              <w:t>Li et al. (Multi-institution)</w:t>
            </w:r>
          </w:p>
        </w:tc>
        <w:tc>
          <w:tcPr>
            <w:tcW w:type="dxa" w:w="720"/>
            <w:shd w:val="clear" w:color="auto" w:fill="EEF4FF"/>
          </w:tcPr>
          <w:p>
            <w:r>
              <w:rPr>
                <w:color w:val="1A1A2E"/>
                <w:sz w:val="16"/>
              </w:rPr>
              <w:t>2023</w:t>
            </w:r>
          </w:p>
        </w:tc>
        <w:tc>
          <w:tcPr>
            <w:tcW w:type="dxa" w:w="3168"/>
            <w:shd w:val="clear" w:color="auto" w:fill="EEF4FF"/>
          </w:tcPr>
          <w:p>
            <w:r>
              <w:rPr>
                <w:color w:val="1A1A2E"/>
                <w:sz w:val="16"/>
              </w:rPr>
              <w:t>1. First realistic Text-to-SQL benchmark with 12,751 pairs across 95 large databases (33.4 GB); introduces dirty data, external knowledge, and SQL efficiency challenges. 2. ChatGPT achieves only 40% vs 92.96% human — proving real-world NL2SQL is unsolved.</w:t>
            </w:r>
          </w:p>
        </w:tc>
        <w:tc>
          <w:tcPr>
            <w:tcW w:type="dxa" w:w="2880"/>
            <w:shd w:val="clear" w:color="auto" w:fill="EEF4FF"/>
          </w:tcPr>
          <w:p>
            <w:r>
              <w:rPr>
                <w:color w:val="1A1A2E"/>
                <w:sz w:val="16"/>
              </w:rPr>
              <w:t>1. English only; cannot assess multilingual or non-standard schema naming. 2. Static benchmark; cannot evaluate robustness to schema evolution or distribution shift.</w:t>
            </w:r>
          </w:p>
        </w:tc>
      </w:tr>
      <w:tr>
        <w:tc>
          <w:tcPr>
            <w:tcW w:type="dxa" w:w="504"/>
            <w:shd w:val="clear" w:color="auto" w:fill="FFFFFF"/>
          </w:tcPr>
          <w:p>
            <w:r>
              <w:rPr>
                <w:color w:val="1A1A2E"/>
                <w:sz w:val="16"/>
              </w:rPr>
              <w:t>8</w:t>
            </w:r>
          </w:p>
        </w:tc>
        <w:tc>
          <w:tcPr>
            <w:tcW w:type="dxa" w:w="2160"/>
            <w:shd w:val="clear" w:color="auto" w:fill="FFFFFF"/>
          </w:tcPr>
          <w:p>
            <w:r>
              <w:rPr>
                <w:color w:val="1A1A2E"/>
                <w:sz w:val="16"/>
              </w:rPr>
              <w:t>RCAgent</w:t>
            </w:r>
          </w:p>
        </w:tc>
        <w:tc>
          <w:tcPr>
            <w:tcW w:type="dxa" w:w="1584"/>
            <w:shd w:val="clear" w:color="auto" w:fill="FFFFFF"/>
          </w:tcPr>
          <w:p>
            <w:r>
              <w:rPr>
                <w:color w:val="1A1A2E"/>
                <w:sz w:val="16"/>
              </w:rPr>
              <w:t>Wang et al. (Alibaba Cloud)</w:t>
            </w:r>
          </w:p>
        </w:tc>
        <w:tc>
          <w:tcPr>
            <w:tcW w:type="dxa" w:w="720"/>
            <w:shd w:val="clear" w:color="auto" w:fill="FFFFFF"/>
          </w:tcPr>
          <w:p>
            <w:r>
              <w:rPr>
                <w:color w:val="1A1A2E"/>
                <w:sz w:val="16"/>
              </w:rPr>
              <w:t>2024</w:t>
            </w:r>
          </w:p>
        </w:tc>
        <w:tc>
          <w:tcPr>
            <w:tcW w:type="dxa" w:w="3168"/>
            <w:shd w:val="clear" w:color="auto" w:fill="FFFFFF"/>
          </w:tcPr>
          <w:p>
            <w:r>
              <w:rPr>
                <w:color w:val="1A1A2E"/>
                <w:sz w:val="16"/>
              </w:rPr>
              <w:t>1. Tool-augmented LLM agent for cloud RCA with Self-Consistency across action trajectories; deployed in Alibaba Flink platform. 2. Outperforms ReAct on all RCA aspects; handles incidents beyond existing rule coverage.</w:t>
            </w:r>
          </w:p>
        </w:tc>
        <w:tc>
          <w:tcPr>
            <w:tcW w:type="dxa" w:w="2880"/>
            <w:shd w:val="clear" w:color="auto" w:fill="FFFFFF"/>
          </w:tcPr>
          <w:p>
            <w:r>
              <w:rPr>
                <w:color w:val="1A1A2E"/>
                <w:sz w:val="16"/>
              </w:rPr>
              <w:t>1. Cloud IT infrastructure only — not business KPI anomalies. 2. Reactive; triggered by incident report; no proactive monitoring.</w:t>
            </w:r>
          </w:p>
        </w:tc>
      </w:tr>
      <w:tr>
        <w:tc>
          <w:tcPr>
            <w:tcW w:type="dxa" w:w="504"/>
            <w:shd w:val="clear" w:color="auto" w:fill="EEF4FF"/>
          </w:tcPr>
          <w:p>
            <w:r>
              <w:rPr>
                <w:color w:val="1A1A2E"/>
                <w:sz w:val="16"/>
              </w:rPr>
              <w:t>9</w:t>
            </w:r>
          </w:p>
        </w:tc>
        <w:tc>
          <w:tcPr>
            <w:tcW w:type="dxa" w:w="2160"/>
            <w:shd w:val="clear" w:color="auto" w:fill="EEF4FF"/>
          </w:tcPr>
          <w:p>
            <w:r>
              <w:rPr>
                <w:color w:val="1A1A2E"/>
                <w:sz w:val="16"/>
              </w:rPr>
              <w:t>Exploring LLM Agents for RCA</w:t>
            </w:r>
          </w:p>
        </w:tc>
        <w:tc>
          <w:tcPr>
            <w:tcW w:type="dxa" w:w="1584"/>
            <w:shd w:val="clear" w:color="auto" w:fill="EEF4FF"/>
          </w:tcPr>
          <w:p>
            <w:r>
              <w:rPr>
                <w:color w:val="1A1A2E"/>
                <w:sz w:val="16"/>
              </w:rPr>
              <w:t>Roy et al. (Microsoft)</w:t>
            </w:r>
          </w:p>
        </w:tc>
        <w:tc>
          <w:tcPr>
            <w:tcW w:type="dxa" w:w="720"/>
            <w:shd w:val="clear" w:color="auto" w:fill="EEF4FF"/>
          </w:tcPr>
          <w:p>
            <w:r>
              <w:rPr>
                <w:color w:val="1A1A2E"/>
                <w:sz w:val="16"/>
              </w:rPr>
              <w:t>2024</w:t>
            </w:r>
          </w:p>
        </w:tc>
        <w:tc>
          <w:tcPr>
            <w:tcW w:type="dxa" w:w="3168"/>
            <w:shd w:val="clear" w:color="auto" w:fill="EEF4FF"/>
          </w:tcPr>
          <w:p>
            <w:r>
              <w:rPr>
                <w:color w:val="1A1A2E"/>
                <w:sz w:val="16"/>
              </w:rPr>
              <w:t>1. ReAct with retrieval tools significantly outperforms static LLM approaches for cloud incident RCA at Microsoft. 2. Dynamic tool-based information collection is critical; discussion threads do not improve performance.</w:t>
            </w:r>
          </w:p>
        </w:tc>
        <w:tc>
          <w:tcPr>
            <w:tcW w:type="dxa" w:w="2880"/>
            <w:shd w:val="clear" w:color="auto" w:fill="EEF4FF"/>
          </w:tcPr>
          <w:p>
            <w:r>
              <w:rPr>
                <w:color w:val="1A1A2E"/>
                <w:sz w:val="16"/>
              </w:rPr>
              <w:t>1. IT infrastructure domain only; business KPI RCA not evaluated. 2. No formal causal graph — LLM reasoning cannot distinguish causation from correlation.</w:t>
            </w:r>
          </w:p>
        </w:tc>
      </w:tr>
      <w:tr>
        <w:tc>
          <w:tcPr>
            <w:tcW w:type="dxa" w:w="504"/>
            <w:shd w:val="clear" w:color="auto" w:fill="FFFFFF"/>
          </w:tcPr>
          <w:p>
            <w:r>
              <w:rPr>
                <w:color w:val="1A1A2E"/>
                <w:sz w:val="16"/>
              </w:rPr>
              <w:t>10</w:t>
            </w:r>
          </w:p>
        </w:tc>
        <w:tc>
          <w:tcPr>
            <w:tcW w:type="dxa" w:w="2160"/>
            <w:shd w:val="clear" w:color="auto" w:fill="FFFFFF"/>
          </w:tcPr>
          <w:p>
            <w:r>
              <w:rPr>
                <w:color w:val="1A1A2E"/>
                <w:sz w:val="16"/>
              </w:rPr>
              <w:t>DABL — Business Process Anomaly</w:t>
            </w:r>
          </w:p>
        </w:tc>
        <w:tc>
          <w:tcPr>
            <w:tcW w:type="dxa" w:w="1584"/>
            <w:shd w:val="clear" w:color="auto" w:fill="FFFFFF"/>
          </w:tcPr>
          <w:p>
            <w:r>
              <w:rPr>
                <w:color w:val="1A1A2E"/>
                <w:sz w:val="16"/>
              </w:rPr>
              <w:t>Guan et al. (SJTU)</w:t>
            </w:r>
          </w:p>
        </w:tc>
        <w:tc>
          <w:tcPr>
            <w:tcW w:type="dxa" w:w="720"/>
            <w:shd w:val="clear" w:color="auto" w:fill="FFFFFF"/>
          </w:tcPr>
          <w:p>
            <w:r>
              <w:rPr>
                <w:color w:val="1A1A2E"/>
                <w:sz w:val="16"/>
              </w:rPr>
              <w:t>2025</w:t>
            </w:r>
          </w:p>
        </w:tc>
        <w:tc>
          <w:tcPr>
            <w:tcW w:type="dxa" w:w="3168"/>
            <w:shd w:val="clear" w:color="auto" w:fill="FFFFFF"/>
          </w:tcPr>
          <w:p>
            <w:r>
              <w:rPr>
                <w:color w:val="1A1A2E"/>
                <w:sz w:val="16"/>
              </w:rPr>
              <w:t>1. LLM fine-tuned on 143,137 process models detects semantic (not frequency-based) anomalies in business processes with natural language explanation. 2. Trace-level context captures long-distance activity dependencies missed by event-pair methods.</w:t>
            </w:r>
          </w:p>
        </w:tc>
        <w:tc>
          <w:tcPr>
            <w:tcW w:type="dxa" w:w="2880"/>
            <w:shd w:val="clear" w:color="auto" w:fill="FFFFFF"/>
          </w:tcPr>
          <w:p>
            <w:r>
              <w:rPr>
                <w:color w:val="1A1A2E"/>
                <w:sz w:val="16"/>
              </w:rPr>
              <w:t>1. Business process traces only — not business KPI time series (revenue, churn, orders). 2. No root cause attribution to external causal drivers; explains anomaly structure, not causal origin.</w:t>
            </w:r>
          </w:p>
        </w:tc>
      </w:tr>
      <w:tr>
        <w:tc>
          <w:tcPr>
            <w:tcW w:type="dxa" w:w="504"/>
            <w:shd w:val="clear" w:color="auto" w:fill="EEF4FF"/>
          </w:tcPr>
          <w:p>
            <w:r>
              <w:rPr>
                <w:color w:val="1A1A2E"/>
                <w:sz w:val="16"/>
              </w:rPr>
              <w:t>11</w:t>
            </w:r>
          </w:p>
        </w:tc>
        <w:tc>
          <w:tcPr>
            <w:tcW w:type="dxa" w:w="2160"/>
            <w:shd w:val="clear" w:color="auto" w:fill="EEF4FF"/>
          </w:tcPr>
          <w:p>
            <w:r>
              <w:rPr>
                <w:color w:val="1A1A2E"/>
                <w:sz w:val="16"/>
              </w:rPr>
              <w:t>Graph-Aug Multi-Agent RCA</w:t>
            </w:r>
          </w:p>
        </w:tc>
        <w:tc>
          <w:tcPr>
            <w:tcW w:type="dxa" w:w="1584"/>
            <w:shd w:val="clear" w:color="auto" w:fill="EEF4FF"/>
          </w:tcPr>
          <w:p>
            <w:r>
              <w:rPr>
                <w:color w:val="1A1A2E"/>
                <w:sz w:val="16"/>
              </w:rPr>
              <w:t>Zou et al. (State Grid/Wuhan U)</w:t>
            </w:r>
          </w:p>
        </w:tc>
        <w:tc>
          <w:tcPr>
            <w:tcW w:type="dxa" w:w="720"/>
            <w:shd w:val="clear" w:color="auto" w:fill="EEF4FF"/>
          </w:tcPr>
          <w:p>
            <w:r>
              <w:rPr>
                <w:color w:val="1A1A2E"/>
                <w:sz w:val="16"/>
              </w:rPr>
              <w:t>2026</w:t>
            </w:r>
          </w:p>
        </w:tc>
        <w:tc>
          <w:tcPr>
            <w:tcW w:type="dxa" w:w="3168"/>
            <w:shd w:val="clear" w:color="auto" w:fill="EEF4FF"/>
          </w:tcPr>
          <w:p>
            <w:r>
              <w:rPr>
                <w:color w:val="1A1A2E"/>
                <w:sz w:val="16"/>
              </w:rPr>
              <w:t>1. Anomaly Fusion Graph unifies metrics, traces, and logs via hybrid alignment + LLM semantic arbitration; Navigator+Diagnoser+Verifier agents achieve 88.4% F1. 2. Adversarial verification protocol uses counterfactual reasoning to reduce hallucinations.</w:t>
            </w:r>
          </w:p>
        </w:tc>
        <w:tc>
          <w:tcPr>
            <w:tcW w:type="dxa" w:w="2880"/>
            <w:shd w:val="clear" w:color="auto" w:fill="EEF4FF"/>
          </w:tcPr>
          <w:p>
            <w:r>
              <w:rPr>
                <w:color w:val="1A1A2E"/>
                <w:sz w:val="16"/>
              </w:rPr>
              <w:t>1. Microservice IT infrastructure only — not business intelligence or KPI monitoring. 2. No proactive monitoring; triggered by observed incident.</w:t>
            </w:r>
          </w:p>
        </w:tc>
      </w:tr>
      <w:tr>
        <w:tc>
          <w:tcPr>
            <w:tcW w:type="dxa" w:w="504"/>
            <w:shd w:val="clear" w:color="auto" w:fill="FFFFFF"/>
          </w:tcPr>
          <w:p>
            <w:r>
              <w:rPr>
                <w:color w:val="1A1A2E"/>
                <w:sz w:val="16"/>
              </w:rPr>
              <w:t>12</w:t>
            </w:r>
          </w:p>
        </w:tc>
        <w:tc>
          <w:tcPr>
            <w:tcW w:type="dxa" w:w="2160"/>
            <w:shd w:val="clear" w:color="auto" w:fill="FFFFFF"/>
          </w:tcPr>
          <w:p>
            <w:r>
              <w:rPr>
                <w:color w:val="1A1A2E"/>
                <w:sz w:val="16"/>
              </w:rPr>
              <w:t>LLMs for Causal Discovery Survey</w:t>
            </w:r>
          </w:p>
        </w:tc>
        <w:tc>
          <w:tcPr>
            <w:tcW w:type="dxa" w:w="1584"/>
            <w:shd w:val="clear" w:color="auto" w:fill="FFFFFF"/>
          </w:tcPr>
          <w:p>
            <w:r>
              <w:rPr>
                <w:color w:val="1A1A2E"/>
                <w:sz w:val="16"/>
              </w:rPr>
              <w:t>Wan et al. (U Georgia)</w:t>
            </w:r>
          </w:p>
        </w:tc>
        <w:tc>
          <w:tcPr>
            <w:tcW w:type="dxa" w:w="720"/>
            <w:shd w:val="clear" w:color="auto" w:fill="FFFFFF"/>
          </w:tcPr>
          <w:p>
            <w:r>
              <w:rPr>
                <w:color w:val="1A1A2E"/>
                <w:sz w:val="16"/>
              </w:rPr>
              <w:t>2024-25</w:t>
            </w:r>
          </w:p>
        </w:tc>
        <w:tc>
          <w:tcPr>
            <w:tcW w:type="dxa" w:w="3168"/>
            <w:shd w:val="clear" w:color="auto" w:fill="FFFFFF"/>
          </w:tcPr>
          <w:p>
            <w:r>
              <w:rPr>
                <w:color w:val="1A1A2E"/>
                <w:sz w:val="16"/>
              </w:rPr>
              <w:t>1. First survey of LLM-CD integration across 3 dimensions: direct extraction, domain knowledge injection, structure refinement. 2. LLM-Modulo (external causal engine + LLM for language) identified as safest architecture for high-stakes causal tasks.</w:t>
            </w:r>
          </w:p>
        </w:tc>
        <w:tc>
          <w:tcPr>
            <w:tcW w:type="dxa" w:w="2880"/>
            <w:shd w:val="clear" w:color="auto" w:fill="FFFFFF"/>
          </w:tcPr>
          <w:p>
            <w:r>
              <w:rPr>
                <w:color w:val="1A1A2E"/>
                <w:sz w:val="16"/>
              </w:rPr>
              <w:t>1. Survey only — no new method or system. 2. Business KPI causal discovery challenges (promotions, seasonality, calendar confounders) not addressed.</w:t>
            </w:r>
          </w:p>
        </w:tc>
      </w:tr>
      <w:tr>
        <w:tc>
          <w:tcPr>
            <w:tcW w:type="dxa" w:w="504"/>
            <w:shd w:val="clear" w:color="auto" w:fill="EEF4FF"/>
          </w:tcPr>
          <w:p>
            <w:r>
              <w:rPr>
                <w:color w:val="1A1A2E"/>
                <w:sz w:val="16"/>
              </w:rPr>
              <w:t>13</w:t>
            </w:r>
          </w:p>
        </w:tc>
        <w:tc>
          <w:tcPr>
            <w:tcW w:type="dxa" w:w="2160"/>
            <w:shd w:val="clear" w:color="auto" w:fill="EEF4FF"/>
          </w:tcPr>
          <w:p>
            <w:r>
              <w:rPr>
                <w:color w:val="1A1A2E"/>
                <w:sz w:val="16"/>
              </w:rPr>
              <w:t>CausalPulse</w:t>
            </w:r>
          </w:p>
        </w:tc>
        <w:tc>
          <w:tcPr>
            <w:tcW w:type="dxa" w:w="1584"/>
            <w:shd w:val="clear" w:color="auto" w:fill="EEF4FF"/>
          </w:tcPr>
          <w:p>
            <w:r>
              <w:rPr>
                <w:color w:val="1A1A2E"/>
                <w:sz w:val="16"/>
              </w:rPr>
              <w:t>Shyalika et al. (USC/Bosch)</w:t>
            </w:r>
          </w:p>
        </w:tc>
        <w:tc>
          <w:tcPr>
            <w:tcW w:type="dxa" w:w="720"/>
            <w:shd w:val="clear" w:color="auto" w:fill="EEF4FF"/>
          </w:tcPr>
          <w:p>
            <w:r>
              <w:rPr>
                <w:color w:val="1A1A2E"/>
                <w:sz w:val="16"/>
              </w:rPr>
              <w:t>2026</w:t>
            </w:r>
          </w:p>
        </w:tc>
        <w:tc>
          <w:tcPr>
            <w:tcW w:type="dxa" w:w="3168"/>
            <w:shd w:val="clear" w:color="auto" w:fill="EEF4FF"/>
          </w:tcPr>
          <w:p>
            <w:r>
              <w:rPr>
                <w:color w:val="1A1A2E"/>
                <w:sz w:val="16"/>
              </w:rPr>
              <w:t>1. Neurosymbolic multi-agent copilot unifying anomaly detection, causal discovery, and reasoning via MCP protocols; deployed at Bosch manufacturing plant. 2. 98%+ success rates with 50-60s latency and near-linear scalability.</w:t>
            </w:r>
          </w:p>
        </w:tc>
        <w:tc>
          <w:tcPr>
            <w:tcW w:type="dxa" w:w="2880"/>
            <w:shd w:val="clear" w:color="auto" w:fill="EEF4FF"/>
          </w:tcPr>
          <w:p>
            <w:r>
              <w:rPr>
                <w:color w:val="1A1A2E"/>
                <w:sz w:val="16"/>
              </w:rPr>
              <w:t>1. Smart manufacturing domain — physical sensor data, not business KPI time series. 2. Human-in-the-loop checkpoints introduce latency unsuitable for rapid business alerting.</w:t>
            </w:r>
          </w:p>
        </w:tc>
      </w:tr>
      <w:tr>
        <w:tc>
          <w:tcPr>
            <w:tcW w:type="dxa" w:w="504"/>
            <w:shd w:val="clear" w:color="auto" w:fill="FFFFFF"/>
          </w:tcPr>
          <w:p>
            <w:r>
              <w:rPr>
                <w:color w:val="1A1A2E"/>
                <w:sz w:val="16"/>
              </w:rPr>
              <w:t>14</w:t>
            </w:r>
          </w:p>
        </w:tc>
        <w:tc>
          <w:tcPr>
            <w:tcW w:type="dxa" w:w="2160"/>
            <w:shd w:val="clear" w:color="auto" w:fill="FFFFFF"/>
          </w:tcPr>
          <w:p>
            <w:r>
              <w:rPr>
                <w:color w:val="1A1A2E"/>
                <w:sz w:val="16"/>
              </w:rPr>
              <w:t>AgentRCA</w:t>
            </w:r>
          </w:p>
        </w:tc>
        <w:tc>
          <w:tcPr>
            <w:tcW w:type="dxa" w:w="1584"/>
            <w:shd w:val="clear" w:color="auto" w:fill="FFFFFF"/>
          </w:tcPr>
          <w:p>
            <w:r>
              <w:rPr>
                <w:color w:val="1A1A2E"/>
                <w:sz w:val="16"/>
              </w:rPr>
              <w:t>Wei &amp; Fink (EPFL)</w:t>
            </w:r>
          </w:p>
        </w:tc>
        <w:tc>
          <w:tcPr>
            <w:tcW w:type="dxa" w:w="720"/>
            <w:shd w:val="clear" w:color="auto" w:fill="FFFFFF"/>
          </w:tcPr>
          <w:p>
            <w:r>
              <w:rPr>
                <w:color w:val="1A1A2E"/>
                <w:sz w:val="16"/>
              </w:rPr>
              <w:t>2026</w:t>
            </w:r>
          </w:p>
        </w:tc>
        <w:tc>
          <w:tcPr>
            <w:tcW w:type="dxa" w:w="3168"/>
            <w:shd w:val="clear" w:color="auto" w:fill="FFFFFF"/>
          </w:tcPr>
          <w:p>
            <w:r>
              <w:rPr>
                <w:color w:val="1A1A2E"/>
                <w:sz w:val="16"/>
              </w:rPr>
              <w:t>1. Zero-shot agentic RCA combining digital twin (normal dynamics model) with tool-augmented LLM for evidence-grounded hypothesis testing. 2. Competitive with supervised baselines without any fault-labeled training data; produces transparent reasoning traces.</w:t>
            </w:r>
          </w:p>
        </w:tc>
        <w:tc>
          <w:tcPr>
            <w:tcW w:type="dxa" w:w="2880"/>
            <w:shd w:val="clear" w:color="auto" w:fill="FFFFFF"/>
          </w:tcPr>
          <w:p>
            <w:r>
              <w:rPr>
                <w:color w:val="1A1A2E"/>
                <w:sz w:val="16"/>
              </w:rPr>
              <w:t>1. Physical industrial systems (chemical plants, manufacturing) — requires pre-built digital twin. 2. Cannot be applied to business KPI monitoring where no physical digital twin exists.</w:t>
            </w:r>
          </w:p>
        </w:tc>
      </w:tr>
      <w:tr>
        <w:tc>
          <w:tcPr>
            <w:tcW w:type="dxa" w:w="504"/>
            <w:shd w:val="clear" w:color="auto" w:fill="EEF4FF"/>
          </w:tcPr>
          <w:p>
            <w:r>
              <w:rPr>
                <w:color w:val="1A1A2E"/>
                <w:sz w:val="16"/>
              </w:rPr>
              <w:t>15</w:t>
            </w:r>
          </w:p>
        </w:tc>
        <w:tc>
          <w:tcPr>
            <w:tcW w:type="dxa" w:w="2160"/>
            <w:shd w:val="clear" w:color="auto" w:fill="EEF4FF"/>
          </w:tcPr>
          <w:p>
            <w:r>
              <w:rPr>
                <w:color w:val="1A1A2E"/>
                <w:sz w:val="16"/>
              </w:rPr>
              <w:t>Springer Paper</w:t>
            </w:r>
          </w:p>
        </w:tc>
        <w:tc>
          <w:tcPr>
            <w:tcW w:type="dxa" w:w="1584"/>
            <w:shd w:val="clear" w:color="auto" w:fill="EEF4FF"/>
          </w:tcPr>
          <w:p>
            <w:r>
              <w:rPr>
                <w:color w:val="1A1A2E"/>
                <w:sz w:val="16"/>
              </w:rPr>
              <w:t>—</w:t>
            </w:r>
          </w:p>
        </w:tc>
        <w:tc>
          <w:tcPr>
            <w:tcW w:type="dxa" w:w="720"/>
            <w:shd w:val="clear" w:color="auto" w:fill="EEF4FF"/>
          </w:tcPr>
          <w:p>
            <w:r>
              <w:rPr>
                <w:color w:val="1A1A2E"/>
                <w:sz w:val="16"/>
              </w:rPr>
              <w:t>2025</w:t>
            </w:r>
          </w:p>
        </w:tc>
        <w:tc>
          <w:tcPr>
            <w:tcW w:type="dxa" w:w="3168"/>
            <w:shd w:val="clear" w:color="auto" w:fill="EEF4FF"/>
          </w:tcPr>
          <w:p>
            <w:r>
              <w:rPr>
                <w:color w:val="1A1A2E"/>
                <w:sz w:val="16"/>
              </w:rPr>
              <w:t>Access restricted — full summary pending institutional access.</w:t>
            </w:r>
          </w:p>
        </w:tc>
        <w:tc>
          <w:tcPr>
            <w:tcW w:type="dxa" w:w="2880"/>
            <w:shd w:val="clear" w:color="auto" w:fill="EEF4FF"/>
          </w:tcPr>
          <w:p>
            <w:r>
              <w:rPr>
                <w:color w:val="1A1A2E"/>
                <w:sz w:val="16"/>
              </w:rPr>
              <w:t>Access restricted.</w:t>
            </w:r>
          </w:p>
        </w:tc>
      </w:tr>
      <w:tr>
        <w:tc>
          <w:tcPr>
            <w:tcW w:type="dxa" w:w="504"/>
            <w:shd w:val="clear" w:color="auto" w:fill="FFFFFF"/>
          </w:tcPr>
          <w:p>
            <w:r>
              <w:rPr>
                <w:color w:val="1A1A2E"/>
                <w:sz w:val="16"/>
              </w:rPr>
              <w:t>16</w:t>
            </w:r>
          </w:p>
        </w:tc>
        <w:tc>
          <w:tcPr>
            <w:tcW w:type="dxa" w:w="2160"/>
            <w:shd w:val="clear" w:color="auto" w:fill="FFFFFF"/>
          </w:tcPr>
          <w:p>
            <w:r>
              <w:rPr>
                <w:color w:val="1A1A2E"/>
                <w:sz w:val="16"/>
              </w:rPr>
              <w:t>ScienceDirect Paper</w:t>
            </w:r>
          </w:p>
        </w:tc>
        <w:tc>
          <w:tcPr>
            <w:tcW w:type="dxa" w:w="1584"/>
            <w:shd w:val="clear" w:color="auto" w:fill="FFFFFF"/>
          </w:tcPr>
          <w:p>
            <w:r>
              <w:rPr>
                <w:color w:val="1A1A2E"/>
                <w:sz w:val="16"/>
              </w:rPr>
              <w:t>—</w:t>
            </w:r>
          </w:p>
        </w:tc>
        <w:tc>
          <w:tcPr>
            <w:tcW w:type="dxa" w:w="720"/>
            <w:shd w:val="clear" w:color="auto" w:fill="FFFFFF"/>
          </w:tcPr>
          <w:p>
            <w:r>
              <w:rPr>
                <w:color w:val="1A1A2E"/>
                <w:sz w:val="16"/>
              </w:rPr>
              <w:t>2025</w:t>
            </w:r>
          </w:p>
        </w:tc>
        <w:tc>
          <w:tcPr>
            <w:tcW w:type="dxa" w:w="3168"/>
            <w:shd w:val="clear" w:color="auto" w:fill="FFFFFF"/>
          </w:tcPr>
          <w:p>
            <w:r>
              <w:rPr>
                <w:color w:val="1A1A2E"/>
                <w:sz w:val="16"/>
              </w:rPr>
              <w:t>Access restricted — full summary pending institutional access.</w:t>
            </w:r>
          </w:p>
        </w:tc>
        <w:tc>
          <w:tcPr>
            <w:tcW w:type="dxa" w:w="2880"/>
            <w:shd w:val="clear" w:color="auto" w:fill="FFFFFF"/>
          </w:tcPr>
          <w:p>
            <w:r>
              <w:rPr>
                <w:color w:val="1A1A2E"/>
                <w:sz w:val="16"/>
              </w:rPr>
              <w:t>Access restricted.</w:t>
            </w:r>
          </w:p>
        </w:tc>
      </w:tr>
    </w:tbl>
    <w:p/>
    <w:p>
      <w:pPr>
        <w:spacing w:before="400" w:after="0"/>
        <w:jc w:val="center"/>
      </w:pPr>
      <w:r>
        <w:rPr>
          <w:i/>
          <w:color w:val="666666"/>
          <w:sz w:val="18"/>
        </w:rPr>
        <w:t>KAIROS Paper Summaries Extended  ·  Woxsen University  ·  B.Tech CSE Data Science 2026–27</w:t>
      </w:r>
    </w:p>
    <w:p>
      <w:r>
        <w:br w:type="page"/>
      </w:r>
    </w:p>
    <w:p>
      <w:pPr>
        <w:spacing w:before="320" w:after="80"/>
        <w:pBdr>
          <w:bottom w:val="single" w:sz="8" w:space="1" w:color="0D47A1"/>
        </w:pBdr>
      </w:pPr>
      <w:r>
        <w:rPr>
          <w:b/>
          <w:color w:val="0D47A1"/>
          <w:sz w:val="32"/>
        </w:rPr>
        <w:t>PAPER 15</w:t>
      </w:r>
    </w:p>
    <w:p>
      <w:pPr>
        <w:spacing w:before="80" w:after="120"/>
        <w:jc w:val="center"/>
      </w:pPr>
      <w:r>
        <w:rPr>
          <w:b/>
          <w:color w:val="0D47A1"/>
          <w:sz w:val="26"/>
        </w:rPr>
        <w:t>Anomaly Transformer: Time Series Anomaly Detection with Association Discrepancy</w:t>
      </w:r>
    </w:p>
    <w:p>
      <w:pPr>
        <w:spacing w:before="200" w:after="60"/>
      </w:pPr>
      <w:r>
        <w:rPr>
          <w:b/>
          <w:color w:val="006E6E"/>
          <w:sz w:val="24"/>
        </w:rPr>
        <w:t>Paper Information</w:t>
      </w:r>
    </w:p>
    <w:tbl>
      <w:tblPr>
        <w:tblStyle w:val="TableGrid"/>
        <w:tblW w:type="auto" w:w="0"/>
        <w:jc w:val="left"/>
        <w:tblLook w:firstColumn="1" w:firstRow="1" w:lastColumn="0" w:lastRow="0" w:noHBand="0" w:noVBand="1" w:val="04A0"/>
      </w:tblPr>
      <w:tblGrid>
        <w:gridCol w:w="4514"/>
        <w:gridCol w:w="4514"/>
      </w:tblGrid>
      <w:tr>
        <w:tc>
          <w:tcPr>
            <w:tcW w:type="dxa" w:w="2448"/>
            <w:shd w:val="clear" w:color="auto" w:fill="0D47A1"/>
          </w:tcPr>
          <w:p>
            <w:r>
              <w:rPr>
                <w:b/>
                <w:color w:val="FFFFFF"/>
                <w:sz w:val="20"/>
              </w:rPr>
              <w:t>Full Title</w:t>
            </w:r>
          </w:p>
        </w:tc>
        <w:tc>
          <w:tcPr>
            <w:tcW w:type="dxa" w:w="7056"/>
            <w:shd w:val="clear" w:color="auto" w:fill="EEF4FF"/>
          </w:tcPr>
          <w:p>
            <w:r>
              <w:rPr>
                <w:color w:val="1A1A2E"/>
                <w:sz w:val="20"/>
              </w:rPr>
              <w:t>Anomaly Transformer: Time Series Anomaly Detection with Association Discrepancy</w:t>
            </w:r>
          </w:p>
        </w:tc>
      </w:tr>
      <w:tr>
        <w:tc>
          <w:tcPr>
            <w:tcW w:type="dxa" w:w="2448"/>
            <w:shd w:val="clear" w:color="auto" w:fill="0D47A1"/>
          </w:tcPr>
          <w:p>
            <w:r>
              <w:rPr>
                <w:b/>
                <w:color w:val="FFFFFF"/>
                <w:sz w:val="20"/>
              </w:rPr>
              <w:t>Authors</w:t>
            </w:r>
          </w:p>
        </w:tc>
        <w:tc>
          <w:tcPr>
            <w:tcW w:type="dxa" w:w="7056"/>
            <w:shd w:val="clear" w:color="auto" w:fill="FFFFFF"/>
          </w:tcPr>
          <w:p>
            <w:r>
              <w:rPr>
                <w:color w:val="1A1A2E"/>
                <w:sz w:val="20"/>
              </w:rPr>
              <w:t>Jiehui Xu, Haixu Wu, Jianmin Wang, Mingsheng Long</w:t>
            </w:r>
          </w:p>
        </w:tc>
      </w:tr>
      <w:tr>
        <w:tc>
          <w:tcPr>
            <w:tcW w:type="dxa" w:w="2448"/>
            <w:shd w:val="clear" w:color="auto" w:fill="0D47A1"/>
          </w:tcPr>
          <w:p>
            <w:r>
              <w:rPr>
                <w:b/>
                <w:color w:val="FFFFFF"/>
                <w:sz w:val="20"/>
              </w:rPr>
              <w:t>Affiliation</w:t>
            </w:r>
          </w:p>
        </w:tc>
        <w:tc>
          <w:tcPr>
            <w:tcW w:type="dxa" w:w="7056"/>
            <w:shd w:val="clear" w:color="auto" w:fill="EEF4FF"/>
          </w:tcPr>
          <w:p>
            <w:r>
              <w:rPr>
                <w:color w:val="1A1A2E"/>
                <w:sz w:val="20"/>
              </w:rPr>
              <w:t>Tsinghua University, Beijing, China</w:t>
            </w:r>
          </w:p>
        </w:tc>
      </w:tr>
      <w:tr>
        <w:tc>
          <w:tcPr>
            <w:tcW w:type="dxa" w:w="2448"/>
            <w:shd w:val="clear" w:color="auto" w:fill="0D47A1"/>
          </w:tcPr>
          <w:p>
            <w:r>
              <w:rPr>
                <w:b/>
                <w:color w:val="FFFFFF"/>
                <w:sz w:val="20"/>
              </w:rPr>
              <w:t>Published</w:t>
            </w:r>
          </w:p>
        </w:tc>
        <w:tc>
          <w:tcPr>
            <w:tcW w:type="dxa" w:w="7056"/>
            <w:shd w:val="clear" w:color="auto" w:fill="FFFFFF"/>
          </w:tcPr>
          <w:p>
            <w:r>
              <w:rPr>
                <w:color w:val="1A1A2E"/>
                <w:sz w:val="20"/>
              </w:rPr>
              <w:t>ICLR 2022 — International Conference on Learning Representations</w:t>
            </w:r>
          </w:p>
        </w:tc>
      </w:tr>
      <w:tr>
        <w:tc>
          <w:tcPr>
            <w:tcW w:type="dxa" w:w="2448"/>
            <w:shd w:val="clear" w:color="auto" w:fill="0D47A1"/>
          </w:tcPr>
          <w:p>
            <w:r>
              <w:rPr>
                <w:b/>
                <w:color w:val="FFFFFF"/>
                <w:sz w:val="20"/>
              </w:rPr>
              <w:t>arXiv</w:t>
            </w:r>
          </w:p>
        </w:tc>
        <w:tc>
          <w:tcPr>
            <w:tcW w:type="dxa" w:w="7056"/>
            <w:shd w:val="clear" w:color="auto" w:fill="EEF4FF"/>
          </w:tcPr>
          <w:p>
            <w:r>
              <w:rPr>
                <w:color w:val="1A1A2E"/>
                <w:sz w:val="20"/>
              </w:rPr>
              <w:t>arXiv:2110.02642</w:t>
            </w:r>
          </w:p>
        </w:tc>
      </w:tr>
      <w:tr>
        <w:tc>
          <w:tcPr>
            <w:tcW w:type="dxa" w:w="2448"/>
            <w:shd w:val="clear" w:color="auto" w:fill="0D47A1"/>
          </w:tcPr>
          <w:p>
            <w:r>
              <w:rPr>
                <w:b/>
                <w:color w:val="FFFFFF"/>
                <w:sz w:val="20"/>
              </w:rPr>
              <w:t>Year</w:t>
            </w:r>
          </w:p>
        </w:tc>
        <w:tc>
          <w:tcPr>
            <w:tcW w:type="dxa" w:w="7056"/>
            <w:shd w:val="clear" w:color="auto" w:fill="FFFFFF"/>
          </w:tcPr>
          <w:p>
            <w:r>
              <w:rPr>
                <w:color w:val="1A1A2E"/>
                <w:sz w:val="20"/>
              </w:rPr>
              <w:t>2022</w:t>
            </w:r>
          </w:p>
        </w:tc>
      </w:tr>
      <w:tr>
        <w:tc>
          <w:tcPr>
            <w:tcW w:type="dxa" w:w="2448"/>
            <w:shd w:val="clear" w:color="auto" w:fill="0D47A1"/>
          </w:tcPr>
          <w:p>
            <w:r>
              <w:rPr>
                <w:b/>
                <w:color w:val="FFFFFF"/>
                <w:sz w:val="20"/>
              </w:rPr>
              <w:t>Domain</w:t>
            </w:r>
          </w:p>
        </w:tc>
        <w:tc>
          <w:tcPr>
            <w:tcW w:type="dxa" w:w="7056"/>
            <w:shd w:val="clear" w:color="auto" w:fill="EEF4FF"/>
          </w:tcPr>
          <w:p>
            <w:r>
              <w:rPr>
                <w:color w:val="1A1A2E"/>
                <w:sz w:val="20"/>
              </w:rPr>
              <w:t>Machine Learning — Unsupervised Time Series Anomaly Detection</w:t>
            </w:r>
          </w:p>
        </w:tc>
      </w:tr>
      <w:tr>
        <w:tc>
          <w:tcPr>
            <w:tcW w:type="dxa" w:w="2448"/>
            <w:shd w:val="clear" w:color="auto" w:fill="0D47A1"/>
          </w:tcPr>
          <w:p>
            <w:r>
              <w:rPr>
                <w:b/>
                <w:color w:val="FFFFFF"/>
                <w:sz w:val="20"/>
              </w:rPr>
              <w:t>Code</w:t>
            </w:r>
          </w:p>
        </w:tc>
        <w:tc>
          <w:tcPr>
            <w:tcW w:type="dxa" w:w="7056"/>
            <w:shd w:val="clear" w:color="auto" w:fill="FFFFFF"/>
          </w:tcPr>
          <w:p>
            <w:r>
              <w:rPr>
                <w:color w:val="1A1A2E"/>
                <w:sz w:val="20"/>
              </w:rPr>
              <w:t>github.com/thuml/Anomaly-Transformer</w:t>
            </w:r>
          </w:p>
        </w:tc>
      </w:tr>
    </w:tbl>
    <w:p/>
    <w:p>
      <w:pPr>
        <w:spacing w:before="200" w:after="60"/>
      </w:pPr>
      <w:r>
        <w:rPr>
          <w:b/>
          <w:color w:val="006E6E"/>
          <w:sz w:val="24"/>
        </w:rPr>
        <w:t>Detailed Summary</w:t>
      </w:r>
    </w:p>
    <w:p>
      <w:pPr>
        <w:spacing w:before="0" w:after="100"/>
        <w:jc w:val="both"/>
      </w:pPr>
      <w:r>
        <w:rPr>
          <w:color w:val="1A1A2E"/>
          <w:sz w:val="22"/>
        </w:rPr>
        <w:t>Anomaly Transformer addresses the problem of detecting anomalies in multivariate time series without any labeled training examples. The model must learn what is normal purely from historical data and flag deviations without ever being told which specific points were anomalies during training.</w:t>
      </w:r>
    </w:p>
    <w:p>
      <w:pPr>
        <w:spacing w:before="0" w:after="100"/>
        <w:jc w:val="both"/>
      </w:pPr>
      <w:r>
        <w:rPr>
          <w:color w:val="1A1A2E"/>
          <w:sz w:val="22"/>
        </w:rPr>
        <w:t>Previous methods looked at each time point either in isolation (pointwise methods) or in pairs (pairwise methods). Neither captured the full temporal context. The paper's key observation is that Transformer self-attention weights, which describe how much each time point attends to every other point in the series, carry rich information about a point's relationship with the entire sequence.</w:t>
      </w:r>
    </w:p>
    <w:p>
      <w:pPr>
        <w:spacing w:before="0" w:after="100"/>
        <w:jc w:val="both"/>
      </w:pPr>
      <w:r>
        <w:rPr>
          <w:color w:val="1A1A2E"/>
          <w:sz w:val="22"/>
        </w:rPr>
        <w:t>The central insight is the adjacent-concentration bias of anomalies: normal points build meaningful associations with both adjacent and distant time points because they follow the underlying pattern. Anomalous points, being rare one-off deviations, cannot establish meaningful associations with distant points — their attention concentrates almost entirely on immediate temporal neighbours. This asymmetry is called the Association Discrepancy.</w:t>
      </w:r>
    </w:p>
    <w:p>
      <w:pPr>
        <w:spacing w:before="200" w:after="60"/>
      </w:pPr>
      <w:r>
        <w:rPr>
          <w:b/>
          <w:color w:val="006E6E"/>
          <w:sz w:val="24"/>
        </w:rPr>
        <w:t>Key Technical Components</w:t>
      </w:r>
    </w:p>
    <w:p>
      <w:pPr>
        <w:spacing w:before="140" w:after="40"/>
      </w:pPr>
      <w:r>
        <w:rPr>
          <w:b/>
          <w:color w:val="1A1A2E"/>
          <w:sz w:val="22"/>
        </w:rPr>
        <w:t>1. Association Discrepancy and Anomaly-Attention</w:t>
      </w:r>
    </w:p>
    <w:p>
      <w:pPr>
        <w:spacing w:before="0" w:after="100"/>
        <w:jc w:val="both"/>
      </w:pPr>
      <w:r>
        <w:rPr>
          <w:color w:val="1A1A2E"/>
          <w:sz w:val="22"/>
        </w:rPr>
        <w:t>The model computes two parallel attention distributions per time point. The Series Association (P) is the standard learned self-attention — for normal points this spreads broadly, for anomalous points it concentrates locally. The Prior Association (G) is a fixed Gaussian kernel enforcing adjacent bias: G(i,j) ∝ exp(−|i−j|² / 2σ²). The KL divergence between P and G is the Association Discrepancy: small divergence = anomaly; large divergence = normal.</w:t>
      </w:r>
    </w:p>
    <w:p>
      <w:pPr>
        <w:spacing w:before="140" w:after="40"/>
      </w:pPr>
      <w:r>
        <w:rPr>
          <w:b/>
          <w:color w:val="1A1A2E"/>
          <w:sz w:val="22"/>
        </w:rPr>
        <w:t>2. Minimax Training Strategy</w:t>
      </w:r>
    </w:p>
    <w:p>
      <w:pPr>
        <w:spacing w:before="0" w:after="100"/>
        <w:jc w:val="both"/>
      </w:pPr>
      <w:r>
        <w:rPr>
          <w:color w:val="1A1A2E"/>
          <w:sz w:val="22"/>
        </w:rPr>
        <w:t>Minimize phase: push Series Association toward the Gaussian Prior for all points — forces all to look locally concentrated. Maximize phase: push normal points to build broader global associations — amplifies the gap between normal (large discrepancy) and anomalous (small discrepancy) points. The alternating minimax strategy maximises discriminability.</w:t>
      </w:r>
    </w:p>
    <w:p>
      <w:pPr>
        <w:spacing w:before="140" w:after="40"/>
      </w:pPr>
      <w:r>
        <w:rPr>
          <w:b/>
          <w:color w:val="1A1A2E"/>
          <w:sz w:val="22"/>
        </w:rPr>
        <w:t>3. Final Anomaly Score</w:t>
      </w:r>
    </w:p>
    <w:p>
      <w:pPr>
        <w:spacing w:before="0" w:after="100"/>
        <w:jc w:val="both"/>
      </w:pPr>
      <w:r>
        <w:rPr>
          <w:color w:val="1A1A2E"/>
          <w:sz w:val="22"/>
        </w:rPr>
        <w:t>AnomalyScore = Softmin(Association Discrepancy) × Reconstruction Error. Small discrepancy gets high anomaly weight. Reconstruction error provides a secondary signal. The element-wise product is thresholded to produce binary anomaly labels.</w:t>
      </w:r>
    </w:p>
    <w:p>
      <w:pPr>
        <w:spacing w:before="200" w:after="60"/>
      </w:pPr>
      <w:r>
        <w:rPr>
          <w:b/>
          <w:color w:val="006E6E"/>
          <w:sz w:val="24"/>
        </w:rPr>
        <w:t>Key Findings</w:t>
      </w:r>
    </w:p>
    <w:p>
      <w:pPr>
        <w:pStyle w:val="ListBullet"/>
        <w:spacing w:before="20" w:after="40"/>
        <w:ind w:left="432"/>
      </w:pPr>
      <w:r>
        <w:rPr>
          <w:color w:val="1A1A2E"/>
          <w:sz w:val="22"/>
        </w:rPr>
        <w:t>State-of-the-art F1 on 6 unsupervised benchmarks: SMD, MSL, SMAP, SWaT, WADI, PSM — spanning service monitoring, space exploration, and water treatment.</w:t>
      </w:r>
    </w:p>
    <w:p>
      <w:pPr>
        <w:pStyle w:val="ListBullet"/>
        <w:spacing w:before="20" w:after="40"/>
        <w:ind w:left="432"/>
      </w:pPr>
      <w:r>
        <w:rPr>
          <w:color w:val="1A1A2E"/>
          <w:sz w:val="22"/>
        </w:rPr>
        <w:t>Association Discrepancy is inherently distinguishable between normal and anomalous points without any labeled data.</w:t>
      </w:r>
    </w:p>
    <w:p>
      <w:pPr>
        <w:pStyle w:val="ListBullet"/>
        <w:spacing w:before="20" w:after="40"/>
        <w:ind w:left="432"/>
      </w:pPr>
      <w:r>
        <w:rPr>
          <w:color w:val="1A1A2E"/>
          <w:sz w:val="22"/>
        </w:rPr>
        <w:t>Minimax training amplifies the normal-anomaly gap by 15–20% compared to standard training.</w:t>
      </w:r>
    </w:p>
    <w:p>
      <w:pPr>
        <w:pStyle w:val="ListBullet"/>
        <w:spacing w:before="20" w:after="40"/>
        <w:ind w:left="432"/>
      </w:pPr>
      <w:r>
        <w:rPr>
          <w:color w:val="1A1A2E"/>
          <w:sz w:val="22"/>
        </w:rPr>
        <w:t>Learnable σ per layer allows the model to adapt the prior association width at different abstraction levels.</w:t>
      </w:r>
    </w:p>
    <w:p>
      <w:pPr>
        <w:spacing w:before="200" w:after="60"/>
      </w:pPr>
      <w:r>
        <w:rPr>
          <w:b/>
          <w:color w:val="006E6E"/>
          <w:sz w:val="24"/>
        </w:rPr>
        <w:t>Limitations and Research Gaps</w:t>
      </w:r>
    </w:p>
    <w:p>
      <w:pPr>
        <w:spacing w:before="140" w:after="40"/>
      </w:pPr>
      <w:r>
        <w:rPr>
          <w:b/>
          <w:color w:val="1A1A2E"/>
          <w:sz w:val="22"/>
        </w:rPr>
        <w:t>Limitation 1: Industrial Benchmarks Only — No Business KPIs</w:t>
      </w:r>
    </w:p>
    <w:p>
      <w:pPr>
        <w:spacing w:before="0" w:after="100"/>
        <w:jc w:val="both"/>
      </w:pPr>
      <w:r>
        <w:rPr>
          <w:color w:val="1A1A2E"/>
          <w:sz w:val="22"/>
        </w:rPr>
        <w:t>All six evaluation datasets are industrial and sensor time series. The paper never tests on business KPI time series — revenue, conversion rate, churn, order volume — where seasonality, promotional events, and calendar effects create structurally different anomaly characteristics. KAIROS is the first to apply this method to business data.</w:t>
      </w:r>
    </w:p>
    <w:p>
      <w:pPr>
        <w:spacing w:before="140" w:after="40"/>
      </w:pPr>
      <w:r>
        <w:rPr>
          <w:b/>
          <w:color w:val="1A1A2E"/>
          <w:sz w:val="22"/>
        </w:rPr>
        <w:t>Limitation 2: Detection Without Explanation</w:t>
      </w:r>
    </w:p>
    <w:p>
      <w:pPr>
        <w:spacing w:before="0" w:after="100"/>
        <w:jc w:val="both"/>
      </w:pPr>
      <w:r>
        <w:rPr>
          <w:color w:val="1A1A2E"/>
          <w:sz w:val="22"/>
        </w:rPr>
        <w:t>The model detects that an anomaly exists but provides no explanation of what caused it. There is no mechanism for root cause attribution, causal path tracing, or connecting the anomaly to upstream business factors. KAIROS adds Agent 3 (Causal Investigator) downstream to address this.</w:t>
      </w:r>
    </w:p>
    <w:p>
      <w:pPr>
        <w:spacing w:before="140" w:after="40"/>
      </w:pPr>
      <w:r>
        <w:rPr>
          <w:b/>
          <w:color w:val="1A1A2E"/>
          <w:sz w:val="22"/>
        </w:rPr>
        <w:t>Limitation 3: Standalone Algorithm — No End-to-End Pipeline</w:t>
      </w:r>
    </w:p>
    <w:p>
      <w:pPr>
        <w:spacing w:before="0" w:after="100"/>
        <w:jc w:val="both"/>
      </w:pPr>
      <w:r>
        <w:rPr>
          <w:color w:val="1A1A2E"/>
          <w:sz w:val="22"/>
        </w:rPr>
        <w:t>Anomaly Transformer is a detection algorithm, not a monitoring system. It does not connect to live data sources, does not run on a schedule, and does not integrate with alerting infrastructure. KAIROS wraps it inside Agent 2 (Anomaly Watchman) in a continuous 15-minute monitoring loop.</w:t>
      </w:r>
    </w:p>
    <w:p>
      <w:r>
        <w:br w:type="page"/>
      </w:r>
    </w:p>
    <w:p>
      <w:pPr>
        <w:spacing w:before="320" w:after="80"/>
        <w:pBdr>
          <w:bottom w:val="single" w:sz="8" w:space="1" w:color="0D47A1"/>
        </w:pBdr>
      </w:pPr>
      <w:r>
        <w:rPr>
          <w:b/>
          <w:color w:val="0D47A1"/>
          <w:sz w:val="32"/>
        </w:rPr>
        <w:t>PAPER 16</w:t>
      </w:r>
    </w:p>
    <w:p>
      <w:pPr>
        <w:spacing w:before="80" w:after="120"/>
        <w:jc w:val="center"/>
      </w:pPr>
      <w:r>
        <w:rPr>
          <w:b/>
          <w:color w:val="0D47A1"/>
          <w:sz w:val="26"/>
        </w:rPr>
        <w:t>Towards Autonomous Business Intelligence via Data-to-Insight Discovery Agent</w:t>
      </w:r>
    </w:p>
    <w:p>
      <w:pPr>
        <w:spacing w:before="200" w:after="60"/>
      </w:pPr>
      <w:r>
        <w:rPr>
          <w:b/>
          <w:color w:val="006E6E"/>
          <w:sz w:val="24"/>
        </w:rPr>
        <w:t>Paper Information</w:t>
      </w:r>
    </w:p>
    <w:tbl>
      <w:tblPr>
        <w:tblStyle w:val="TableGrid"/>
        <w:tblW w:type="auto" w:w="0"/>
        <w:jc w:val="left"/>
        <w:tblLook w:firstColumn="1" w:firstRow="1" w:lastColumn="0" w:lastRow="0" w:noHBand="0" w:noVBand="1" w:val="04A0"/>
      </w:tblPr>
      <w:tblGrid>
        <w:gridCol w:w="4514"/>
        <w:gridCol w:w="4514"/>
      </w:tblGrid>
      <w:tr>
        <w:tc>
          <w:tcPr>
            <w:tcW w:type="dxa" w:w="2448"/>
            <w:shd w:val="clear" w:color="auto" w:fill="0D47A1"/>
          </w:tcPr>
          <w:p>
            <w:r>
              <w:rPr>
                <w:b/>
                <w:color w:val="FFFFFF"/>
                <w:sz w:val="20"/>
              </w:rPr>
              <w:t>Full Title</w:t>
            </w:r>
          </w:p>
        </w:tc>
        <w:tc>
          <w:tcPr>
            <w:tcW w:type="dxa" w:w="7056"/>
            <w:shd w:val="clear" w:color="auto" w:fill="EEF4FF"/>
          </w:tcPr>
          <w:p>
            <w:r>
              <w:rPr>
                <w:color w:val="1A1A2E"/>
                <w:sz w:val="20"/>
              </w:rPr>
              <w:t>Towards Autonomous Business Intelligence via Data-to-Insight Discovery Agent</w:t>
            </w:r>
          </w:p>
        </w:tc>
      </w:tr>
      <w:tr>
        <w:tc>
          <w:tcPr>
            <w:tcW w:type="dxa" w:w="2448"/>
            <w:shd w:val="clear" w:color="auto" w:fill="0D47A1"/>
          </w:tcPr>
          <w:p>
            <w:r>
              <w:rPr>
                <w:b/>
                <w:color w:val="FFFFFF"/>
                <w:sz w:val="20"/>
              </w:rPr>
              <w:t>Authors</w:t>
            </w:r>
          </w:p>
        </w:tc>
        <w:tc>
          <w:tcPr>
            <w:tcW w:type="dxa" w:w="7056"/>
            <w:shd w:val="clear" w:color="auto" w:fill="FFFFFF"/>
          </w:tcPr>
          <w:p>
            <w:r>
              <w:rPr>
                <w:color w:val="1A1A2E"/>
                <w:sz w:val="20"/>
              </w:rPr>
              <w:t>Dongming Wu, Junwen Li, Ming Lu, Gang Wang, Ting Chen</w:t>
            </w:r>
          </w:p>
        </w:tc>
      </w:tr>
      <w:tr>
        <w:tc>
          <w:tcPr>
            <w:tcW w:type="dxa" w:w="2448"/>
            <w:shd w:val="clear" w:color="auto" w:fill="0D47A1"/>
          </w:tcPr>
          <w:p>
            <w:r>
              <w:rPr>
                <w:b/>
                <w:color w:val="FFFFFF"/>
                <w:sz w:val="20"/>
              </w:rPr>
              <w:t>Affiliation</w:t>
            </w:r>
          </w:p>
        </w:tc>
        <w:tc>
          <w:tcPr>
            <w:tcW w:type="dxa" w:w="7056"/>
            <w:shd w:val="clear" w:color="auto" w:fill="EEF4FF"/>
          </w:tcPr>
          <w:p>
            <w:r>
              <w:rPr>
                <w:color w:val="1A1A2E"/>
                <w:sz w:val="20"/>
              </w:rPr>
              <w:t>Rajax Network Technology (Taobao Shangou of Alibaba), China</w:t>
            </w:r>
          </w:p>
        </w:tc>
      </w:tr>
      <w:tr>
        <w:tc>
          <w:tcPr>
            <w:tcW w:type="dxa" w:w="2448"/>
            <w:shd w:val="clear" w:color="auto" w:fill="0D47A1"/>
          </w:tcPr>
          <w:p>
            <w:r>
              <w:rPr>
                <w:b/>
                <w:color w:val="FFFFFF"/>
                <w:sz w:val="20"/>
              </w:rPr>
              <w:t>Published</w:t>
            </w:r>
          </w:p>
        </w:tc>
        <w:tc>
          <w:tcPr>
            <w:tcW w:type="dxa" w:w="7056"/>
            <w:shd w:val="clear" w:color="auto" w:fill="FFFFFF"/>
          </w:tcPr>
          <w:p>
            <w:r>
              <w:rPr>
                <w:color w:val="1A1A2E"/>
                <w:sz w:val="20"/>
              </w:rPr>
              <w:t>arXiv preprint — May 8, 2026</w:t>
            </w:r>
          </w:p>
        </w:tc>
      </w:tr>
      <w:tr>
        <w:tc>
          <w:tcPr>
            <w:tcW w:type="dxa" w:w="2448"/>
            <w:shd w:val="clear" w:color="auto" w:fill="0D47A1"/>
          </w:tcPr>
          <w:p>
            <w:r>
              <w:rPr>
                <w:b/>
                <w:color w:val="FFFFFF"/>
                <w:sz w:val="20"/>
              </w:rPr>
              <w:t>arXiv</w:t>
            </w:r>
          </w:p>
        </w:tc>
        <w:tc>
          <w:tcPr>
            <w:tcW w:type="dxa" w:w="7056"/>
            <w:shd w:val="clear" w:color="auto" w:fill="EEF4FF"/>
          </w:tcPr>
          <w:p>
            <w:r>
              <w:rPr>
                <w:color w:val="1A1A2E"/>
                <w:sz w:val="20"/>
              </w:rPr>
              <w:t>arXiv:2605.07202</w:t>
            </w:r>
          </w:p>
        </w:tc>
      </w:tr>
      <w:tr>
        <w:tc>
          <w:tcPr>
            <w:tcW w:type="dxa" w:w="2448"/>
            <w:shd w:val="clear" w:color="auto" w:fill="0D47A1"/>
          </w:tcPr>
          <w:p>
            <w:r>
              <w:rPr>
                <w:b/>
                <w:color w:val="FFFFFF"/>
                <w:sz w:val="20"/>
              </w:rPr>
              <w:t>Year</w:t>
            </w:r>
          </w:p>
        </w:tc>
        <w:tc>
          <w:tcPr>
            <w:tcW w:type="dxa" w:w="7056"/>
            <w:shd w:val="clear" w:color="auto" w:fill="FFFFFF"/>
          </w:tcPr>
          <w:p>
            <w:r>
              <w:rPr>
                <w:color w:val="1A1A2E"/>
                <w:sz w:val="20"/>
              </w:rPr>
              <w:t>2026</w:t>
            </w:r>
          </w:p>
        </w:tc>
      </w:tr>
      <w:tr>
        <w:tc>
          <w:tcPr>
            <w:tcW w:type="dxa" w:w="2448"/>
            <w:shd w:val="clear" w:color="auto" w:fill="0D47A1"/>
          </w:tcPr>
          <w:p>
            <w:r>
              <w:rPr>
                <w:b/>
                <w:color w:val="FFFFFF"/>
                <w:sz w:val="20"/>
              </w:rPr>
              <w:t>Domain</w:t>
            </w:r>
          </w:p>
        </w:tc>
        <w:tc>
          <w:tcPr>
            <w:tcW w:type="dxa" w:w="7056"/>
            <w:shd w:val="clear" w:color="auto" w:fill="EEF4FF"/>
          </w:tcPr>
          <w:p>
            <w:r>
              <w:rPr>
                <w:color w:val="1A1A2E"/>
                <w:sz w:val="20"/>
              </w:rPr>
              <w:t>Artificial Intelligence — Autonomous Business Intelligence — RL for Agents</w:t>
            </w:r>
          </w:p>
        </w:tc>
      </w:tr>
      <w:tr>
        <w:tc>
          <w:tcPr>
            <w:tcW w:type="dxa" w:w="2448"/>
            <w:shd w:val="clear" w:color="auto" w:fill="0D47A1"/>
          </w:tcPr>
          <w:p>
            <w:r>
              <w:rPr>
                <w:b/>
                <w:color w:val="FFFFFF"/>
                <w:sz w:val="20"/>
              </w:rPr>
              <w:t>Contact</w:t>
            </w:r>
          </w:p>
        </w:tc>
        <w:tc>
          <w:tcPr>
            <w:tcW w:type="dxa" w:w="7056"/>
            <w:shd w:val="clear" w:color="auto" w:fill="FFFFFF"/>
          </w:tcPr>
          <w:p>
            <w:r>
              <w:rPr>
                <w:color w:val="1A1A2E"/>
                <w:sz w:val="20"/>
              </w:rPr>
              <w:t>tanyue.ct@alibaba-inc.com (Ting Chen)</w:t>
            </w:r>
          </w:p>
        </w:tc>
      </w:tr>
    </w:tbl>
    <w:p/>
    <w:p>
      <w:pPr>
        <w:spacing w:before="200" w:after="60"/>
      </w:pPr>
      <w:r>
        <w:rPr>
          <w:b/>
          <w:color w:val="006E6E"/>
          <w:sz w:val="24"/>
        </w:rPr>
        <w:t>Detailed Summary</w:t>
      </w:r>
    </w:p>
    <w:p>
      <w:pPr>
        <w:spacing w:before="0" w:after="100"/>
        <w:jc w:val="both"/>
      </w:pPr>
      <w:r>
        <w:rPr>
          <w:color w:val="1A1A2E"/>
          <w:sz w:val="22"/>
        </w:rPr>
        <w:t>AIDA (Autonomous Insight Discovery Agent) is the first published end-to-end agent framework for autonomous business intelligence. It is motivated by the observation that all existing BI systems require a human to initiate every analysis. Alibaba's Taobao retail analysts spend hours or days answering questions like 'Why did GMV drop in Chengdu this week?' — a process of iterative hypothesis testing, data querying, and conclusion formation. AIDA automates this.</w:t>
      </w:r>
    </w:p>
    <w:p>
      <w:pPr>
        <w:spacing w:before="0" w:after="100"/>
        <w:jc w:val="both"/>
      </w:pPr>
      <w:r>
        <w:rPr>
          <w:color w:val="1A1A2E"/>
          <w:sz w:val="22"/>
        </w:rPr>
        <w:t>The core approach reformulates business analysis as a Markov Decision Process where the agent state is a structured quintuple ⟨id, q, c_t, d_t, g_t⟩: entity identifiers, target question, insight set with self-correction statuses (New/Unchanged/Reinforced/Refuted), observation log, and Mermaid reasoning graph. This structured state replaces raw dialogue history, enabling coherent analysis across 50+ exploration steps without context degradation.</w:t>
      </w:r>
    </w:p>
    <w:p>
      <w:pPr>
        <w:spacing w:before="0" w:after="100"/>
        <w:jc w:val="both"/>
      </w:pPr>
      <w:r>
        <w:rPr>
          <w:color w:val="1A1A2E"/>
          <w:sz w:val="22"/>
        </w:rPr>
        <w:t>A proprietary Domain-Specific Language (DSL) over 200+ metrics and 100+ dimensions bridges semantic reasoning with SQL execution. The DSL engine performs semantic calibration (correcting ambiguous terms) and generates optimised SQL. Two-channel feedback — calibration + data evidence — prevents hallucination about data not actually seen.</w:t>
      </w:r>
    </w:p>
    <w:p>
      <w:pPr>
        <w:spacing w:before="200" w:after="60"/>
      </w:pPr>
      <w:r>
        <w:rPr>
          <w:b/>
          <w:color w:val="006E6E"/>
          <w:sz w:val="24"/>
        </w:rPr>
        <w:t>Key Technical Components</w:t>
      </w:r>
    </w:p>
    <w:p>
      <w:pPr>
        <w:spacing w:before="140" w:after="40"/>
      </w:pPr>
      <w:r>
        <w:rPr>
          <w:b/>
          <w:color w:val="1A1A2E"/>
          <w:sz w:val="22"/>
        </w:rPr>
        <w:t>1. MDP State Quintuple</w:t>
      </w:r>
    </w:p>
    <w:p>
      <w:pPr>
        <w:spacing w:before="0" w:after="80"/>
        <w:jc w:val="both"/>
      </w:pPr>
      <w:r>
        <w:rPr>
          <w:b/>
          <w:color w:val="1A1A2E"/>
          <w:sz w:val="22"/>
        </w:rPr>
        <w:t xml:space="preserve">id: </w:t>
      </w:r>
      <w:r>
        <w:rPr>
          <w:color w:val="1A1A2E"/>
          <w:sz w:val="22"/>
        </w:rPr>
        <w:t>Entity identifiers (shop, brand, category, city) — the analytical anchor.</w:t>
      </w:r>
    </w:p>
    <w:p>
      <w:pPr>
        <w:spacing w:before="0" w:after="80"/>
        <w:jc w:val="both"/>
      </w:pPr>
      <w:r>
        <w:rPr>
          <w:b/>
          <w:color w:val="1A1A2E"/>
          <w:sz w:val="22"/>
        </w:rPr>
        <w:t xml:space="preserve">q: </w:t>
      </w:r>
      <w:r>
        <w:rPr>
          <w:color w:val="1A1A2E"/>
          <w:sz w:val="22"/>
        </w:rPr>
        <w:t>Target question — never changes, the North Star.</w:t>
      </w:r>
    </w:p>
    <w:p>
      <w:pPr>
        <w:spacing w:before="0" w:after="80"/>
        <w:jc w:val="both"/>
      </w:pPr>
      <w:r>
        <w:rPr>
          <w:b/>
          <w:color w:val="1A1A2E"/>
          <w:sz w:val="22"/>
        </w:rPr>
        <w:t xml:space="preserve">c_t: </w:t>
      </w:r>
      <w:r>
        <w:rPr>
          <w:color w:val="1A1A2E"/>
          <w:sz w:val="22"/>
        </w:rPr>
        <w:t>Insight set with statuses. Refuted status enables principled self-correction.</w:t>
      </w:r>
    </w:p>
    <w:p>
      <w:pPr>
        <w:spacing w:before="0" w:after="80"/>
        <w:jc w:val="both"/>
      </w:pPr>
      <w:r>
        <w:rPr>
          <w:b/>
          <w:color w:val="1A1A2E"/>
          <w:sz w:val="22"/>
        </w:rPr>
        <w:t xml:space="preserve">d_t: </w:t>
      </w:r>
      <w:r>
        <w:rPr>
          <w:color w:val="1A1A2E"/>
          <w:sz w:val="22"/>
        </w:rPr>
        <w:t>Observation log — prevents redundant re-querying.</w:t>
      </w:r>
    </w:p>
    <w:p>
      <w:pPr>
        <w:spacing w:before="0" w:after="80"/>
        <w:jc w:val="both"/>
      </w:pPr>
      <w:r>
        <w:rPr>
          <w:b/>
          <w:color w:val="1A1A2E"/>
          <w:sz w:val="22"/>
        </w:rPr>
        <w:t xml:space="preserve">g_t: </w:t>
      </w:r>
      <w:r>
        <w:rPr>
          <w:color w:val="1A1A2E"/>
          <w:sz w:val="22"/>
        </w:rPr>
        <w:t>Reasoning graph (Mermaid) — topological view of the analytical trajectory.</w:t>
      </w:r>
    </w:p>
    <w:p>
      <w:pPr>
        <w:spacing w:before="140" w:after="40"/>
      </w:pPr>
      <w:r>
        <w:rPr>
          <w:b/>
          <w:color w:val="1A1A2E"/>
          <w:sz w:val="22"/>
        </w:rPr>
        <w:t>2. Pareto-Guided RL with Reward Decomposition</w:t>
      </w:r>
    </w:p>
    <w:p>
      <w:pPr>
        <w:spacing w:before="0" w:after="100"/>
        <w:jc w:val="both"/>
      </w:pPr>
      <w:r>
        <w:rPr>
          <w:color w:val="1A1A2E"/>
          <w:sz w:val="22"/>
        </w:rPr>
        <w:t>Immediate rewards evaluate step-level quality (hallucination penalty, format adherence). Accumulated rewards track long-term trajectory quality (discovery gain). Discovery Gain Reward uses LLM-as-judge to verify each insight aligns with the Pareto Principle — find the 20% of causes explaining 80% of the business impact. Valid new insight: +1.0. Self-correction (Refuted): +0.7. Invalid insight: −2.0. Two masking strategies (Schema Masking, Logical Consistency Masking) prevent reward hacking.</w:t>
      </w:r>
    </w:p>
    <w:p>
      <w:pPr>
        <w:spacing w:before="200" w:after="60"/>
      </w:pPr>
      <w:r>
        <w:rPr>
          <w:b/>
          <w:color w:val="006E6E"/>
          <w:sz w:val="24"/>
        </w:rPr>
        <w:t>Key Findings</w:t>
      </w:r>
    </w:p>
    <w:p>
      <w:pPr>
        <w:pStyle w:val="ListBullet"/>
        <w:spacing w:before="20" w:after="40"/>
        <w:ind w:left="432"/>
      </w:pPr>
      <w:r>
        <w:rPr>
          <w:color w:val="1A1A2E"/>
          <w:sz w:val="22"/>
        </w:rPr>
        <w:t>AIDA-RL-8B (8B parameters, RL-trained) outperforms State-ReAct-32B (4x larger, no RL) after ~15 exploration steps — scale matters less than training quality.</w:t>
      </w:r>
    </w:p>
    <w:p>
      <w:pPr>
        <w:pStyle w:val="ListBullet"/>
        <w:spacing w:before="20" w:after="40"/>
        <w:ind w:left="432"/>
      </w:pPr>
      <w:r>
        <w:rPr>
          <w:color w:val="1A1A2E"/>
          <w:sz w:val="22"/>
        </w:rPr>
        <w:t>Reduces hallucinations by 70% vs ReAct-32B at 50 steps while discovering significantly more valid insights.</w:t>
      </w:r>
    </w:p>
    <w:p>
      <w:pPr>
        <w:pStyle w:val="ListBullet"/>
        <w:spacing w:before="20" w:after="40"/>
        <w:ind w:left="432"/>
      </w:pPr>
      <w:r>
        <w:rPr>
          <w:color w:val="1A1A2E"/>
          <w:sz w:val="22"/>
        </w:rPr>
        <w:t>State modeling (structured quintuple vs raw history) is essential — ReAct plateaus at ~25 steps due to context overflow.</w:t>
      </w:r>
    </w:p>
    <w:p>
      <w:pPr>
        <w:pStyle w:val="ListBullet"/>
        <w:spacing w:before="20" w:after="40"/>
        <w:ind w:left="432"/>
      </w:pPr>
      <w:r>
        <w:rPr>
          <w:color w:val="1A1A2E"/>
          <w:sz w:val="22"/>
        </w:rPr>
        <w:t>No performance plateau at 50 steps — system scales with more compute budget.</w:t>
      </w:r>
    </w:p>
    <w:p>
      <w:pPr>
        <w:spacing w:before="200" w:after="60"/>
      </w:pPr>
      <w:r>
        <w:rPr>
          <w:b/>
          <w:color w:val="006E6E"/>
          <w:sz w:val="24"/>
        </w:rPr>
        <w:t>Limitations and Research Gaps</w:t>
      </w:r>
    </w:p>
    <w:p>
      <w:pPr>
        <w:spacing w:before="140" w:after="40"/>
      </w:pPr>
      <w:r>
        <w:rPr>
          <w:b/>
          <w:color w:val="1A1A2E"/>
          <w:sz w:val="22"/>
        </w:rPr>
        <w:t>Limitation 1: Fully Reactive — No Proactive Monitoring</w:t>
      </w:r>
    </w:p>
    <w:p>
      <w:pPr>
        <w:spacing w:before="0" w:after="100"/>
        <w:jc w:val="both"/>
      </w:pPr>
      <w:r>
        <w:rPr>
          <w:color w:val="1A1A2E"/>
          <w:sz w:val="22"/>
        </w:rPr>
        <w:t>AIDA requires a human to provide a specific business question before any analysis begins. There is no mechanism for continuous background monitoring, autonomous anomaly detection, or proactive alerting. KAIROS formally defines Proactive Business Intelligence (ProBI) as a new problem and addresses this directly.</w:t>
      </w:r>
    </w:p>
    <w:p>
      <w:pPr>
        <w:spacing w:before="140" w:after="40"/>
      </w:pPr>
      <w:r>
        <w:rPr>
          <w:b/>
          <w:color w:val="1A1A2E"/>
          <w:sz w:val="22"/>
        </w:rPr>
        <w:t>Limitation 2: Zero Causal Reasoning</w:t>
      </w:r>
    </w:p>
    <w:p>
      <w:pPr>
        <w:spacing w:before="0" w:after="100"/>
        <w:jc w:val="both"/>
      </w:pPr>
      <w:r>
        <w:rPr>
          <w:color w:val="1A1A2E"/>
          <w:sz w:val="22"/>
        </w:rPr>
        <w:t>AIDA discovers correlational statistical observations. It cannot determine whether metric A caused metric B to change, or whether both changed due to a common upstream factor. KAIROS introduces the CBMG using DYNOTEARS to perform formal temporal causal discovery on business KPI data.</w:t>
      </w:r>
    </w:p>
    <w:p>
      <w:pPr>
        <w:spacing w:before="140" w:after="40"/>
      </w:pPr>
      <w:r>
        <w:rPr>
          <w:b/>
          <w:color w:val="1A1A2E"/>
          <w:sz w:val="22"/>
        </w:rPr>
        <w:t>Limitation 3: Single Proprietary Domain — Cannot Generalise</w:t>
      </w:r>
    </w:p>
    <w:p>
      <w:pPr>
        <w:spacing w:before="0" w:after="100"/>
        <w:jc w:val="both"/>
      </w:pPr>
      <w:r>
        <w:rPr>
          <w:color w:val="1A1A2E"/>
          <w:sz w:val="22"/>
        </w:rPr>
        <w:t>AIDA works only on Alibaba's Taobao instant retail data with a manually engineered DSL and metric registry. No path exists to deploy it on an arbitrary business's Google Sheet, SQL database, or SaaS tool. KAIROS's SLAC module eliminates this barrier entirely.</w:t>
      </w:r>
    </w:p>
    <w:p>
      <w:r>
        <w:br w:type="page"/>
      </w:r>
    </w:p>
    <w:p>
      <w:pPr>
        <w:spacing w:before="320" w:after="80"/>
        <w:pBdr>
          <w:bottom w:val="single" w:sz="8" w:space="1" w:color="0D47A1"/>
        </w:pBdr>
      </w:pPr>
      <w:r>
        <w:rPr>
          <w:b/>
          <w:color w:val="0D47A1"/>
          <w:sz w:val="32"/>
        </w:rPr>
        <w:t>PAPER 17</w:t>
      </w:r>
    </w:p>
    <w:p>
      <w:pPr>
        <w:spacing w:before="80" w:after="120"/>
        <w:jc w:val="center"/>
      </w:pPr>
      <w:r>
        <w:rPr>
          <w:b/>
          <w:color w:val="0D47A1"/>
          <w:sz w:val="26"/>
        </w:rPr>
        <w:t>Structured Knowledge-Based Causal Discovery: Agentic Streams of Thought (ASoT)</w:t>
      </w:r>
    </w:p>
    <w:p>
      <w:pPr>
        <w:spacing w:before="200" w:after="60"/>
      </w:pPr>
      <w:r>
        <w:rPr>
          <w:b/>
          <w:color w:val="006E6E"/>
          <w:sz w:val="24"/>
        </w:rPr>
        <w:t>Paper Information</w:t>
      </w:r>
    </w:p>
    <w:tbl>
      <w:tblPr>
        <w:tblStyle w:val="TableGrid"/>
        <w:tblW w:type="auto" w:w="0"/>
        <w:jc w:val="left"/>
        <w:tblLook w:firstColumn="1" w:firstRow="1" w:lastColumn="0" w:lastRow="0" w:noHBand="0" w:noVBand="1" w:val="04A0"/>
      </w:tblPr>
      <w:tblGrid>
        <w:gridCol w:w="4514"/>
        <w:gridCol w:w="4514"/>
      </w:tblGrid>
      <w:tr>
        <w:tc>
          <w:tcPr>
            <w:tcW w:type="dxa" w:w="2448"/>
            <w:shd w:val="clear" w:color="auto" w:fill="0D47A1"/>
          </w:tcPr>
          <w:p>
            <w:r>
              <w:rPr>
                <w:b/>
                <w:color w:val="FFFFFF"/>
                <w:sz w:val="20"/>
              </w:rPr>
              <w:t>Full Title</w:t>
            </w:r>
          </w:p>
        </w:tc>
        <w:tc>
          <w:tcPr>
            <w:tcW w:type="dxa" w:w="7056"/>
            <w:shd w:val="clear" w:color="auto" w:fill="EEF4FF"/>
          </w:tcPr>
          <w:p>
            <w:r>
              <w:rPr>
                <w:color w:val="1A1A2E"/>
                <w:sz w:val="20"/>
              </w:rPr>
              <w:t>Structured knowledge-based causal discovery: Agentic streams of thought</w:t>
            </w:r>
          </w:p>
        </w:tc>
      </w:tr>
      <w:tr>
        <w:tc>
          <w:tcPr>
            <w:tcW w:type="dxa" w:w="2448"/>
            <w:shd w:val="clear" w:color="auto" w:fill="0D47A1"/>
          </w:tcPr>
          <w:p>
            <w:r>
              <w:rPr>
                <w:b/>
                <w:color w:val="FFFFFF"/>
                <w:sz w:val="20"/>
              </w:rPr>
              <w:t>Authors</w:t>
            </w:r>
          </w:p>
        </w:tc>
        <w:tc>
          <w:tcPr>
            <w:tcW w:type="dxa" w:w="7056"/>
            <w:shd w:val="clear" w:color="auto" w:fill="FFFFFF"/>
          </w:tcPr>
          <w:p>
            <w:r>
              <w:rPr>
                <w:color w:val="1A1A2E"/>
                <w:sz w:val="20"/>
              </w:rPr>
              <w:t>Sven Meier, Pratik Narendra Raut, Felix Mahr, Nils Thielen, Jörg Franke, Florian Risch</w:t>
            </w:r>
          </w:p>
        </w:tc>
      </w:tr>
      <w:tr>
        <w:tc>
          <w:tcPr>
            <w:tcW w:type="dxa" w:w="2448"/>
            <w:shd w:val="clear" w:color="auto" w:fill="0D47A1"/>
          </w:tcPr>
          <w:p>
            <w:r>
              <w:rPr>
                <w:b/>
                <w:color w:val="FFFFFF"/>
                <w:sz w:val="20"/>
              </w:rPr>
              <w:t>Affiliation</w:t>
            </w:r>
          </w:p>
        </w:tc>
        <w:tc>
          <w:tcPr>
            <w:tcW w:type="dxa" w:w="7056"/>
            <w:shd w:val="clear" w:color="auto" w:fill="EEF4FF"/>
          </w:tcPr>
          <w:p>
            <w:r>
              <w:rPr>
                <w:color w:val="1A1A2E"/>
                <w:sz w:val="20"/>
              </w:rPr>
              <w:t>Friedrich-Alexander-Universität Erlangen-Nürnberg (FAU), Institute for Factory Automation and Production Systems (FAPS), Germany</w:t>
            </w:r>
          </w:p>
        </w:tc>
      </w:tr>
      <w:tr>
        <w:tc>
          <w:tcPr>
            <w:tcW w:type="dxa" w:w="2448"/>
            <w:shd w:val="clear" w:color="auto" w:fill="0D47A1"/>
          </w:tcPr>
          <w:p>
            <w:r>
              <w:rPr>
                <w:b/>
                <w:color w:val="FFFFFF"/>
                <w:sz w:val="20"/>
              </w:rPr>
              <w:t>Published</w:t>
            </w:r>
          </w:p>
        </w:tc>
        <w:tc>
          <w:tcPr>
            <w:tcW w:type="dxa" w:w="7056"/>
            <w:shd w:val="clear" w:color="auto" w:fill="FFFFFF"/>
          </w:tcPr>
          <w:p>
            <w:r>
              <w:rPr>
                <w:color w:val="1A1A2E"/>
                <w:sz w:val="20"/>
              </w:rPr>
              <w:t>Information Processing and Management, 62 (2025) 104202</w:t>
            </w:r>
          </w:p>
        </w:tc>
      </w:tr>
      <w:tr>
        <w:tc>
          <w:tcPr>
            <w:tcW w:type="dxa" w:w="2448"/>
            <w:shd w:val="clear" w:color="auto" w:fill="0D47A1"/>
          </w:tcPr>
          <w:p>
            <w:r>
              <w:rPr>
                <w:b/>
                <w:color w:val="FFFFFF"/>
                <w:sz w:val="20"/>
              </w:rPr>
              <w:t>DOI</w:t>
            </w:r>
          </w:p>
        </w:tc>
        <w:tc>
          <w:tcPr>
            <w:tcW w:type="dxa" w:w="7056"/>
            <w:shd w:val="clear" w:color="auto" w:fill="EEF4FF"/>
          </w:tcPr>
          <w:p>
            <w:r>
              <w:rPr>
                <w:color w:val="1A1A2E"/>
                <w:sz w:val="20"/>
              </w:rPr>
              <w:t>10.1016/j.ipm.2025.104202</w:t>
            </w:r>
          </w:p>
        </w:tc>
      </w:tr>
      <w:tr>
        <w:tc>
          <w:tcPr>
            <w:tcW w:type="dxa" w:w="2448"/>
            <w:shd w:val="clear" w:color="auto" w:fill="0D47A1"/>
          </w:tcPr>
          <w:p>
            <w:r>
              <w:rPr>
                <w:b/>
                <w:color w:val="FFFFFF"/>
                <w:sz w:val="20"/>
              </w:rPr>
              <w:t>Year</w:t>
            </w:r>
          </w:p>
        </w:tc>
        <w:tc>
          <w:tcPr>
            <w:tcW w:type="dxa" w:w="7056"/>
            <w:shd w:val="clear" w:color="auto" w:fill="FFFFFF"/>
          </w:tcPr>
          <w:p>
            <w:r>
              <w:rPr>
                <w:color w:val="1A1A2E"/>
                <w:sz w:val="20"/>
              </w:rPr>
              <w:t>2025</w:t>
            </w:r>
          </w:p>
        </w:tc>
      </w:tr>
      <w:tr>
        <w:tc>
          <w:tcPr>
            <w:tcW w:type="dxa" w:w="2448"/>
            <w:shd w:val="clear" w:color="auto" w:fill="0D47A1"/>
          </w:tcPr>
          <w:p>
            <w:r>
              <w:rPr>
                <w:b/>
                <w:color w:val="FFFFFF"/>
                <w:sz w:val="20"/>
              </w:rPr>
              <w:t>Domain</w:t>
            </w:r>
          </w:p>
        </w:tc>
        <w:tc>
          <w:tcPr>
            <w:tcW w:type="dxa" w:w="7056"/>
            <w:shd w:val="clear" w:color="auto" w:fill="EEF4FF"/>
          </w:tcPr>
          <w:p>
            <w:r>
              <w:rPr>
                <w:color w:val="1A1A2E"/>
                <w:sz w:val="20"/>
              </w:rPr>
              <w:t>Causal Discovery — Multi-Agent LLM — Knowledge-Based AI — Open-Source LLMs</w:t>
            </w:r>
          </w:p>
        </w:tc>
      </w:tr>
    </w:tbl>
    <w:p/>
    <w:p>
      <w:pPr>
        <w:spacing w:before="200" w:after="60"/>
      </w:pPr>
      <w:r>
        <w:rPr>
          <w:b/>
          <w:color w:val="006E6E"/>
          <w:sz w:val="24"/>
        </w:rPr>
        <w:t>Detailed Summary</w:t>
      </w:r>
    </w:p>
    <w:p>
      <w:pPr>
        <w:spacing w:before="0" w:after="100"/>
        <w:jc w:val="both"/>
      </w:pPr>
      <w:r>
        <w:rPr>
          <w:color w:val="1A1A2E"/>
          <w:sz w:val="22"/>
        </w:rPr>
        <w:t>ASoT (Agentic Stream of Thought) addresses two critical limitations of existing LLM-based causal discovery systems: (1) they rely on large single models that are computationally expensive and raise data privacy concerns, and (2) they lack robust mechanisms to validate and iteratively refine causal outputs. ASoT introduces a hierarchical framework that orchestrates multiple smaller open-source LLMs locally, eliminating dependence on proprietary APIs.</w:t>
      </w:r>
    </w:p>
    <w:p>
      <w:pPr>
        <w:spacing w:before="0" w:after="100"/>
        <w:jc w:val="both"/>
      </w:pPr>
      <w:r>
        <w:rPr>
          <w:color w:val="1A1A2E"/>
          <w:sz w:val="22"/>
        </w:rPr>
        <w:t>The framework decomposes complex causal discovery queries into subcomponents processed by specialised agents. A Search Planner decomposes queries into subqueries and retrieves domain knowledge via RAG (from both internal knowledge bases and web sources). A Model Compiler assigns subqueries to an ensemble of smaller open-source LLMs (LLaMA 3.1 8B, Qwen2 7B, Mixtral 8x7B, Command-R 35B, Gemma2 9B, Mistral NeMo 12B, Phi-3 14B). A Thought Processor implements dual-stream analysis — simultaneously evaluating the positive causal hypothesis and the null hypothesis. Two consensus mechanisms — Delphi (voting-based) and ESM (meta-model synthesis) — aggregate outputs. Two Quality Gates implement iterative refinement. A Direction Processor resolves bidirectional relationships. A Transitive Processor removes spurious indirect pathways.</w:t>
      </w:r>
    </w:p>
    <w:p>
      <w:pPr>
        <w:spacing w:before="0" w:after="100"/>
        <w:jc w:val="both"/>
      </w:pPr>
      <w:r>
        <w:rPr>
          <w:color w:val="1A1A2E"/>
          <w:sz w:val="22"/>
        </w:rPr>
        <w:t>The system runs entirely on local hardware (tested on Nvidia RTX A6000 with 48 GB VRAM). This local deployment ensures data privacy, reproducibility, and independence from proprietary infrastructure — critical for industrial and research settings with sensitive data.</w:t>
      </w:r>
    </w:p>
    <w:p>
      <w:pPr>
        <w:spacing w:before="200" w:after="60"/>
      </w:pPr>
      <w:r>
        <w:rPr>
          <w:b/>
          <w:color w:val="006E6E"/>
          <w:sz w:val="24"/>
        </w:rPr>
        <w:t>Key Technical Components</w:t>
      </w:r>
    </w:p>
    <w:p>
      <w:pPr>
        <w:spacing w:before="140" w:after="40"/>
      </w:pPr>
      <w:r>
        <w:rPr>
          <w:b/>
          <w:color w:val="1A1A2E"/>
          <w:sz w:val="22"/>
        </w:rPr>
        <w:t>1. Dual Consensus Mechanisms</w:t>
      </w:r>
    </w:p>
    <w:p>
      <w:pPr>
        <w:spacing w:before="0" w:after="80"/>
        <w:jc w:val="both"/>
      </w:pPr>
      <w:r>
        <w:rPr>
          <w:b/>
          <w:color w:val="1A1A2E"/>
          <w:sz w:val="22"/>
        </w:rPr>
        <w:t xml:space="preserve">Delphi Protocol: </w:t>
      </w:r>
      <w:r>
        <w:rPr>
          <w:color w:val="1A1A2E"/>
          <w:sz w:val="22"/>
        </w:rPr>
        <w:t>Multiple agents independently generate responses. A structured voting mechanism with quality threshold checks selects the highest-consensus response. A designated tie-breaker model (Phi-3:14b) resolves deadlocks.</w:t>
      </w:r>
    </w:p>
    <w:p>
      <w:pPr>
        <w:spacing w:before="0" w:after="80"/>
        <w:jc w:val="both"/>
      </w:pPr>
      <w:r>
        <w:rPr>
          <w:b/>
          <w:color w:val="1A1A2E"/>
          <w:sz w:val="22"/>
        </w:rPr>
        <w:t xml:space="preserve">Ensemble Synthesis Method (ESM): </w:t>
      </w:r>
      <w:r>
        <w:rPr>
          <w:color w:val="1A1A2E"/>
          <w:sz w:val="22"/>
        </w:rPr>
        <w:t>All agent responses are analysed by a Meta-Model (Phi-3:14b) which evaluates strengths, contextual relevance, and semantic accuracy of each response, then synthesises a final output integrating the most valuable insights while mitigating inconsistencies.</w:t>
      </w:r>
    </w:p>
    <w:p>
      <w:pPr>
        <w:spacing w:before="140" w:after="40"/>
      </w:pPr>
      <w:r>
        <w:rPr>
          <w:b/>
          <w:color w:val="1A1A2E"/>
          <w:sz w:val="22"/>
        </w:rPr>
        <w:t>2. Direction and Transitive Processors</w:t>
      </w:r>
    </w:p>
    <w:p>
      <w:pPr>
        <w:spacing w:before="0" w:after="100"/>
        <w:jc w:val="both"/>
      </w:pPr>
      <w:r>
        <w:rPr>
          <w:color w:val="1A1A2E"/>
          <w:sz w:val="22"/>
        </w:rPr>
        <w:t>The Direction Processor resolves bidirectional edges using domain knowledge and logical inference — determining whether A→B or B→A is more physically plausible. The Transitive Processor removes spurious indirect pathways — if A→B→C, it evaluates whether A→C is a false positive arising from transitivity rather than a genuine direct causal link.</w:t>
      </w:r>
    </w:p>
    <w:p>
      <w:pPr>
        <w:spacing w:before="140" w:after="40"/>
      </w:pPr>
      <w:r>
        <w:rPr>
          <w:b/>
          <w:color w:val="1A1A2E"/>
          <w:sz w:val="22"/>
        </w:rPr>
        <w:t>3. Systematic Bias Mitigation</w:t>
      </w:r>
    </w:p>
    <w:p>
      <w:pPr>
        <w:spacing w:before="0" w:after="100"/>
        <w:jc w:val="both"/>
      </w:pPr>
      <w:r>
        <w:rPr>
          <w:color w:val="1A1A2E"/>
          <w:sz w:val="22"/>
        </w:rPr>
        <w:t>ASoT implements iterative refinement cycles with two Quality Gate levels. Results show that consensus mechanisms consistently reduce bias (ΔBias ranging from −3.8% to −51.3% across domains) even as individual compiler model bias increases due to deliberate specialisation in the dual-stream architecture.</w:t>
      </w:r>
    </w:p>
    <w:p>
      <w:pPr>
        <w:spacing w:before="200" w:after="60"/>
      </w:pPr>
      <w:r>
        <w:rPr>
          <w:b/>
          <w:color w:val="006E6E"/>
          <w:sz w:val="24"/>
        </w:rPr>
        <w:t>Key Findings</w:t>
      </w:r>
    </w:p>
    <w:p>
      <w:pPr>
        <w:pStyle w:val="ListBullet"/>
        <w:spacing w:before="20" w:after="40"/>
        <w:ind w:left="432"/>
      </w:pPr>
      <w:r>
        <w:rPr>
          <w:color w:val="1A1A2E"/>
          <w:sz w:val="22"/>
        </w:rPr>
        <w:t>ESM and Delphi ensemble variants achieve best F1 on AutoMPG (0.80 each) and Sangiovese (0.51 and 0.41), outperforming NOTEARS (F1: 0.44, 0.11), DAG-GNN (F1: 0.55, 0.08), GPT-4o, and Claude 3.5 Sonnet.</w:t>
      </w:r>
    </w:p>
    <w:p>
      <w:pPr>
        <w:pStyle w:val="ListBullet"/>
        <w:spacing w:before="20" w:after="40"/>
        <w:ind w:left="432"/>
      </w:pPr>
      <w:r>
        <w:rPr>
          <w:color w:val="1A1A2E"/>
          <w:sz w:val="22"/>
        </w:rPr>
        <w:t>Single-model ASoT implementations show remarkable improvement over single-shot LLMs — Phi-3:14b improves from F1 0.24 (single-shot) to 0.51 (ASoT), demonstrating the framework's impact beyond model scale.</w:t>
      </w:r>
    </w:p>
    <w:p>
      <w:pPr>
        <w:pStyle w:val="ListBullet"/>
        <w:spacing w:before="20" w:after="40"/>
        <w:ind w:left="432"/>
      </w:pPr>
      <w:r>
        <w:rPr>
          <w:color w:val="1A1A2E"/>
          <w:sz w:val="22"/>
        </w:rPr>
        <w:t>Systematic bias evaluation confirms that Delphi and ESM consensus mechanisms reduce bias while individual compiler models become more specialised — an engineered polarisation effect.</w:t>
      </w:r>
    </w:p>
    <w:p>
      <w:pPr>
        <w:pStyle w:val="ListBullet"/>
        <w:spacing w:before="20" w:after="40"/>
        <w:ind w:left="432"/>
      </w:pPr>
      <w:r>
        <w:rPr>
          <w:color w:val="1A1A2E"/>
          <w:sz w:val="22"/>
        </w:rPr>
        <w:t>Framework runs fully locally — no proprietary API required — on 4-bit quantised open-source models.</w:t>
      </w:r>
    </w:p>
    <w:p>
      <w:pPr>
        <w:spacing w:before="200" w:after="60"/>
      </w:pPr>
      <w:r>
        <w:rPr>
          <w:b/>
          <w:color w:val="006E6E"/>
          <w:sz w:val="24"/>
        </w:rPr>
        <w:t>Limitations and Research Gaps</w:t>
      </w:r>
    </w:p>
    <w:p>
      <w:pPr>
        <w:spacing w:before="140" w:after="40"/>
      </w:pPr>
      <w:r>
        <w:rPr>
          <w:b/>
          <w:color w:val="1A1A2E"/>
          <w:sz w:val="22"/>
        </w:rPr>
        <w:t>Limitation 1: Extremely High Computational Cost</w:t>
      </w:r>
    </w:p>
    <w:p>
      <w:pPr>
        <w:spacing w:before="0" w:after="100"/>
        <w:jc w:val="both"/>
      </w:pPr>
      <w:r>
        <w:rPr>
          <w:color w:val="1A1A2E"/>
          <w:sz w:val="22"/>
        </w:rPr>
        <w:t>ASoT requires 586 TFLOPs (ESM) to 688 TFLOPs (Delphi) per refinement loop — approximately 5 orders of magnitude more than traditional statistical methods (10⁻⁶ TFLOPs for PC algorithm). Execution time ranges from hours to 7 days per dataset. This makes ASoT unsuitable for real-time or high-frequency causal analysis required by KAIROS's 15-minute monitoring loop.</w:t>
      </w:r>
    </w:p>
    <w:p>
      <w:pPr>
        <w:spacing w:before="140" w:after="40"/>
      </w:pPr>
      <w:r>
        <w:rPr>
          <w:b/>
          <w:color w:val="1A1A2E"/>
          <w:sz w:val="22"/>
        </w:rPr>
        <w:t>Limitation 2: Pairwise Analysis Only — O(n²) Complexity</w:t>
      </w:r>
    </w:p>
    <w:p>
      <w:pPr>
        <w:spacing w:before="0" w:after="100"/>
        <w:jc w:val="both"/>
      </w:pPr>
      <w:r>
        <w:rPr>
          <w:color w:val="1A1A2E"/>
          <w:sz w:val="22"/>
        </w:rPr>
        <w:t>ASoT uses pairwise causal discovery — examining all pairs of variables independently. For n variables, this requires n(n-1)/2 queries. For 200+ business metrics, this scales quadratically. The approach also generates false positives from transitive relationships (A→B→C incorrectly detected as A→C). KAIROS uses DYNOTEARS, which learns the full causal graph jointly with O(n²) runtime but a single optimisation pass.</w:t>
      </w:r>
    </w:p>
    <w:p>
      <w:pPr>
        <w:spacing w:before="140" w:after="40"/>
      </w:pPr>
      <w:r>
        <w:rPr>
          <w:b/>
          <w:color w:val="1A1A2E"/>
          <w:sz w:val="22"/>
        </w:rPr>
        <w:t>Limitation 3: General-Purpose Causal Discovery — Not Business-Specific</w:t>
      </w:r>
    </w:p>
    <w:p>
      <w:pPr>
        <w:spacing w:before="0" w:after="100"/>
        <w:jc w:val="both"/>
      </w:pPr>
      <w:r>
        <w:rPr>
          <w:color w:val="1A1A2E"/>
          <w:sz w:val="22"/>
        </w:rPr>
        <w:t>ASoT was evaluated on standard causal discovery benchmarks (AutoMPG, Sangiovese, Sachs, DWD, Neuro) that do not reflect business KPI characteristics. Business time series have strong weekly seasonality, promotional event spikes, and calendar confounders that require domain-aware preprocessing before causal analysis.</w:t>
      </w:r>
    </w:p>
    <w:p>
      <w:r>
        <w:br w:type="page"/>
      </w:r>
    </w:p>
    <w:p>
      <w:pPr>
        <w:spacing w:before="320" w:after="80"/>
        <w:pBdr>
          <w:bottom w:val="single" w:sz="8" w:space="1" w:color="0D47A1"/>
        </w:pBdr>
      </w:pPr>
      <w:r>
        <w:rPr>
          <w:b/>
          <w:color w:val="0D47A1"/>
          <w:sz w:val="32"/>
        </w:rPr>
        <w:t>PAPER 18</w:t>
      </w:r>
    </w:p>
    <w:p>
      <w:pPr>
        <w:spacing w:before="80" w:after="120"/>
        <w:jc w:val="center"/>
      </w:pPr>
      <w:r>
        <w:rPr>
          <w:b/>
          <w:color w:val="0D47A1"/>
          <w:sz w:val="26"/>
        </w:rPr>
        <w:t>MA-RCA: Leveraging Multi-Agent Framework for Root Cause Analysis</w:t>
      </w:r>
    </w:p>
    <w:p>
      <w:pPr>
        <w:spacing w:before="200" w:after="60"/>
      </w:pPr>
      <w:r>
        <w:rPr>
          <w:b/>
          <w:color w:val="006E6E"/>
          <w:sz w:val="24"/>
        </w:rPr>
        <w:t>Paper Information</w:t>
      </w:r>
    </w:p>
    <w:tbl>
      <w:tblPr>
        <w:tblStyle w:val="TableGrid"/>
        <w:tblW w:type="auto" w:w="0"/>
        <w:jc w:val="left"/>
        <w:tblLook w:firstColumn="1" w:firstRow="1" w:lastColumn="0" w:lastRow="0" w:noHBand="0" w:noVBand="1" w:val="04A0"/>
      </w:tblPr>
      <w:tblGrid>
        <w:gridCol w:w="4514"/>
        <w:gridCol w:w="4514"/>
      </w:tblGrid>
      <w:tr>
        <w:tc>
          <w:tcPr>
            <w:tcW w:type="dxa" w:w="2448"/>
            <w:shd w:val="clear" w:color="auto" w:fill="0D47A1"/>
          </w:tcPr>
          <w:p>
            <w:r>
              <w:rPr>
                <w:b/>
                <w:color w:val="FFFFFF"/>
                <w:sz w:val="20"/>
              </w:rPr>
              <w:t>Full Title</w:t>
            </w:r>
          </w:p>
        </w:tc>
        <w:tc>
          <w:tcPr>
            <w:tcW w:type="dxa" w:w="7056"/>
            <w:shd w:val="clear" w:color="auto" w:fill="EEF4FF"/>
          </w:tcPr>
          <w:p>
            <w:r>
              <w:rPr>
                <w:color w:val="1A1A2E"/>
                <w:sz w:val="20"/>
              </w:rPr>
              <w:t>Leveraging multi-agent framework for root cause analysis</w:t>
            </w:r>
          </w:p>
        </w:tc>
      </w:tr>
      <w:tr>
        <w:tc>
          <w:tcPr>
            <w:tcW w:type="dxa" w:w="2448"/>
            <w:shd w:val="clear" w:color="auto" w:fill="0D47A1"/>
          </w:tcPr>
          <w:p>
            <w:r>
              <w:rPr>
                <w:b/>
                <w:color w:val="FFFFFF"/>
                <w:sz w:val="20"/>
              </w:rPr>
              <w:t>Authors</w:t>
            </w:r>
          </w:p>
        </w:tc>
        <w:tc>
          <w:tcPr>
            <w:tcW w:type="dxa" w:w="7056"/>
            <w:shd w:val="clear" w:color="auto" w:fill="FFFFFF"/>
          </w:tcPr>
          <w:p>
            <w:r>
              <w:rPr>
                <w:color w:val="1A1A2E"/>
                <w:sz w:val="20"/>
              </w:rPr>
              <w:t>Feng Fu, Hong Ding, Yong Qin, Jian Yu, Dechao Xu</w:t>
            </w:r>
          </w:p>
        </w:tc>
      </w:tr>
      <w:tr>
        <w:tc>
          <w:tcPr>
            <w:tcW w:type="dxa" w:w="2448"/>
            <w:shd w:val="clear" w:color="auto" w:fill="0D47A1"/>
          </w:tcPr>
          <w:p>
            <w:r>
              <w:rPr>
                <w:b/>
                <w:color w:val="FFFFFF"/>
                <w:sz w:val="20"/>
              </w:rPr>
              <w:t>Affiliation</w:t>
            </w:r>
          </w:p>
        </w:tc>
        <w:tc>
          <w:tcPr>
            <w:tcW w:type="dxa" w:w="7056"/>
            <w:shd w:val="clear" w:color="auto" w:fill="EEF4FF"/>
          </w:tcPr>
          <w:p>
            <w:r>
              <w:rPr>
                <w:color w:val="1A1A2E"/>
                <w:sz w:val="20"/>
              </w:rPr>
              <w:t>NARI-TECH Nanjing Control Systems Ltd, China</w:t>
            </w:r>
          </w:p>
        </w:tc>
      </w:tr>
      <w:tr>
        <w:tc>
          <w:tcPr>
            <w:tcW w:type="dxa" w:w="2448"/>
            <w:shd w:val="clear" w:color="auto" w:fill="0D47A1"/>
          </w:tcPr>
          <w:p>
            <w:r>
              <w:rPr>
                <w:b/>
                <w:color w:val="FFFFFF"/>
                <w:sz w:val="20"/>
              </w:rPr>
              <w:t>Published</w:t>
            </w:r>
          </w:p>
        </w:tc>
        <w:tc>
          <w:tcPr>
            <w:tcW w:type="dxa" w:w="7056"/>
            <w:shd w:val="clear" w:color="auto" w:fill="FFFFFF"/>
          </w:tcPr>
          <w:p>
            <w:r>
              <w:rPr>
                <w:color w:val="1A1A2E"/>
                <w:sz w:val="20"/>
              </w:rPr>
              <w:t>Complex &amp; Intelligent Systems (2026) 12:4</w:t>
            </w:r>
          </w:p>
        </w:tc>
      </w:tr>
      <w:tr>
        <w:tc>
          <w:tcPr>
            <w:tcW w:type="dxa" w:w="2448"/>
            <w:shd w:val="clear" w:color="auto" w:fill="0D47A1"/>
          </w:tcPr>
          <w:p>
            <w:r>
              <w:rPr>
                <w:b/>
                <w:color w:val="FFFFFF"/>
                <w:sz w:val="20"/>
              </w:rPr>
              <w:t>DOI</w:t>
            </w:r>
          </w:p>
        </w:tc>
        <w:tc>
          <w:tcPr>
            <w:tcW w:type="dxa" w:w="7056"/>
            <w:shd w:val="clear" w:color="auto" w:fill="EEF4FF"/>
          </w:tcPr>
          <w:p>
            <w:r>
              <w:rPr>
                <w:color w:val="1A1A2E"/>
                <w:sz w:val="20"/>
              </w:rPr>
              <w:t>10.1007/s40747-025-02096-0</w:t>
            </w:r>
          </w:p>
        </w:tc>
      </w:tr>
      <w:tr>
        <w:tc>
          <w:tcPr>
            <w:tcW w:type="dxa" w:w="2448"/>
            <w:shd w:val="clear" w:color="auto" w:fill="0D47A1"/>
          </w:tcPr>
          <w:p>
            <w:r>
              <w:rPr>
                <w:b/>
                <w:color w:val="FFFFFF"/>
                <w:sz w:val="20"/>
              </w:rPr>
              <w:t>Year</w:t>
            </w:r>
          </w:p>
        </w:tc>
        <w:tc>
          <w:tcPr>
            <w:tcW w:type="dxa" w:w="7056"/>
            <w:shd w:val="clear" w:color="auto" w:fill="FFFFFF"/>
          </w:tcPr>
          <w:p>
            <w:r>
              <w:rPr>
                <w:color w:val="1A1A2E"/>
                <w:sz w:val="20"/>
              </w:rPr>
              <w:t>2026</w:t>
            </w:r>
          </w:p>
        </w:tc>
      </w:tr>
      <w:tr>
        <w:tc>
          <w:tcPr>
            <w:tcW w:type="dxa" w:w="2448"/>
            <w:shd w:val="clear" w:color="auto" w:fill="0D47A1"/>
          </w:tcPr>
          <w:p>
            <w:r>
              <w:rPr>
                <w:b/>
                <w:color w:val="FFFFFF"/>
                <w:sz w:val="20"/>
              </w:rPr>
              <w:t>Domain</w:t>
            </w:r>
          </w:p>
        </w:tc>
        <w:tc>
          <w:tcPr>
            <w:tcW w:type="dxa" w:w="7056"/>
            <w:shd w:val="clear" w:color="auto" w:fill="EEF4FF"/>
          </w:tcPr>
          <w:p>
            <w:r>
              <w:rPr>
                <w:color w:val="1A1A2E"/>
                <w:sz w:val="20"/>
              </w:rPr>
              <w:t>AIOps — Root Cause Analysis — Multi-Agent LLMs — Power Systems</w:t>
            </w:r>
          </w:p>
        </w:tc>
      </w:tr>
    </w:tbl>
    <w:p/>
    <w:p>
      <w:pPr>
        <w:spacing w:before="200" w:after="60"/>
      </w:pPr>
      <w:r>
        <w:rPr>
          <w:b/>
          <w:color w:val="006E6E"/>
          <w:sz w:val="24"/>
        </w:rPr>
        <w:t>Detailed Summary</w:t>
      </w:r>
    </w:p>
    <w:p>
      <w:pPr>
        <w:spacing w:before="0" w:after="100"/>
        <w:jc w:val="both"/>
      </w:pPr>
      <w:r>
        <w:rPr>
          <w:color w:val="1A1A2E"/>
          <w:sz w:val="22"/>
        </w:rPr>
        <w:t>MA-RCA proposes a collaborative multi-agent framework for automated root cause analysis in complex distributed systems — specifically cloud-native platforms and distributed power metering infrastructures. The motivation is that single-agent LLM architectures propagate errors during multi-step reasoning due to context-switching between disparate domain knowledge areas. When an agent must transition from parsing logs to analysing service dependency graphs to evaluating metric thresholds, errors in one step cascade into subsequent steps.</w:t>
      </w:r>
    </w:p>
    <w:p>
      <w:pPr>
        <w:spacing w:before="0" w:after="100"/>
        <w:jc w:val="both"/>
      </w:pPr>
      <w:r>
        <w:rPr>
          <w:color w:val="1A1A2E"/>
          <w:sz w:val="22"/>
        </w:rPr>
        <w:t>MA-RCA decomposes the RCA workflow into four specialised agents. The RCA Agent is the central orchestrator — it parses unstructured anomaly reports, extracts structured parameters (device type, symptom, device ID, timeframe), and coordinates the other agents. The Retrieval Agent grounds the diagnostic process in historical knowledge using RAG over a historical case repository, expanding the hypothesis space beyond what is visible in the immediate anomaly report. The Validation Agent tests each hypothesis against real-time operational data using dynamic tools, suppressing hallucinations through runtime evidence. The Report Agent generates structured diagnostic reports with evidence chains and mitigation recommendations.</w:t>
      </w:r>
    </w:p>
    <w:p>
      <w:pPr>
        <w:spacing w:before="0" w:after="100"/>
        <w:jc w:val="both"/>
      </w:pPr>
      <w:r>
        <w:rPr>
          <w:color w:val="1A1A2E"/>
          <w:sz w:val="22"/>
        </w:rPr>
        <w:t>The key architectural innovation is the separation of hypothesis generation (Retrieval Agent) from hypothesis verification (Validation Agent). The Retrieval Agent uses semantic case retrieval (keyword + embedding similarity) and LLM-based root cause inversion — transforming fragmented case-specific cause-symptom pairs into generalisable causal knowledge units. The Validation Agent converts hypotheses into quantifiable metrics, gathers real-time data via tool APIs, and scores each hypothesis using semantic similarity between historical symptom patterns and current observations.</w:t>
      </w:r>
    </w:p>
    <w:p>
      <w:pPr>
        <w:spacing w:before="200" w:after="60"/>
      </w:pPr>
      <w:r>
        <w:rPr>
          <w:b/>
          <w:color w:val="006E6E"/>
          <w:sz w:val="24"/>
        </w:rPr>
        <w:t>Key Technical Components</w:t>
      </w:r>
    </w:p>
    <w:p>
      <w:pPr>
        <w:spacing w:before="140" w:after="40"/>
      </w:pPr>
      <w:r>
        <w:rPr>
          <w:b/>
          <w:color w:val="1A1A2E"/>
          <w:sz w:val="22"/>
        </w:rPr>
        <w:t>1. Root Cause Inversion</w:t>
      </w:r>
    </w:p>
    <w:p>
      <w:pPr>
        <w:spacing w:before="0" w:after="100"/>
        <w:jc w:val="both"/>
      </w:pPr>
      <w:r>
        <w:rPr>
          <w:color w:val="1A1A2E"/>
          <w:sz w:val="22"/>
        </w:rPr>
        <w:t>The Retrieval Agent performs reverse index construction: LLMs deconstruct historical cases to extract root cause entities and associated symptom sets. A hierarchical indexing scheme combines keyword matching, semantic expansion via synonym libraries, and cross-encoder reranking with temporal relevance weighting. Root cause inversion generalises concrete symptoms (e.g., 'API latency &gt;500ms') into abstract features (e.g., 'network I/O anomaly') to enable cross-scenario causal association.</w:t>
      </w:r>
    </w:p>
    <w:p>
      <w:pPr>
        <w:spacing w:before="140" w:after="40"/>
      </w:pPr>
      <w:r>
        <w:rPr>
          <w:b/>
          <w:color w:val="1A1A2E"/>
          <w:sz w:val="22"/>
        </w:rPr>
        <w:t>2. Hypothesis Validation Protocol</w:t>
      </w:r>
    </w:p>
    <w:p>
      <w:pPr>
        <w:spacing w:before="0" w:after="100"/>
        <w:jc w:val="both"/>
      </w:pPr>
      <w:r>
        <w:rPr>
          <w:color w:val="1A1A2E"/>
          <w:sz w:val="22"/>
        </w:rPr>
        <w:t>The Validation Agent decomposes hypotheses into quantifiable indicators (e.g., 'capacitor aging' → temperature &gt;85°C, harmonic distortion &gt;5%, capacitance deviation &gt;15%). Locality-sensitive hashing clusters overlapping verification requirements to reduce redundant tool calls. A distributed cache pool with TTL rules reuses shared validation results across hypothesis threads, reducing computation by approximately 40%.</w:t>
      </w:r>
    </w:p>
    <w:p>
      <w:pPr>
        <w:spacing w:before="140" w:after="40"/>
      </w:pPr>
      <w:r>
        <w:rPr>
          <w:b/>
          <w:color w:val="1A1A2E"/>
          <w:sz w:val="22"/>
        </w:rPr>
        <w:t>3. Semantic Similarity Scoring</w:t>
      </w:r>
    </w:p>
    <w:p>
      <w:pPr>
        <w:spacing w:before="0" w:after="100"/>
        <w:jc w:val="both"/>
      </w:pPr>
      <w:r>
        <w:rPr>
          <w:color w:val="1A1A2E"/>
          <w:sz w:val="22"/>
        </w:rPr>
        <w:t>Rather than threshold-based validation, the Validation Agent uses BERT-based embedding similarity to score the alignment between real-time anomaly observations and historical failure signatures. This enables flexible comparison across structurally different but semantically similar anomaly descriptions.</w:t>
      </w:r>
    </w:p>
    <w:p>
      <w:pPr>
        <w:spacing w:before="200" w:after="60"/>
      </w:pPr>
      <w:r>
        <w:rPr>
          <w:b/>
          <w:color w:val="006E6E"/>
          <w:sz w:val="24"/>
        </w:rPr>
        <w:t>Key Findings</w:t>
      </w:r>
    </w:p>
    <w:p>
      <w:pPr>
        <w:pStyle w:val="ListBullet"/>
        <w:spacing w:before="20" w:after="40"/>
        <w:ind w:left="432"/>
      </w:pPr>
      <w:r>
        <w:rPr>
          <w:color w:val="1A1A2E"/>
          <w:sz w:val="22"/>
        </w:rPr>
        <w:t>95.8% accuracy (F1 = 0.952) on the Nezha cloud-native benchmark — outperforming RCAgent (F1: 0.725), mABC (F1: 0.726), RCACOPILOT (F1: 0.748), and CoT (F1: 0.412).</w:t>
      </w:r>
    </w:p>
    <w:p>
      <w:pPr>
        <w:pStyle w:val="ListBullet"/>
        <w:spacing w:before="20" w:after="40"/>
        <w:ind w:left="432"/>
      </w:pPr>
      <w:r>
        <w:rPr>
          <w:color w:val="1A1A2E"/>
          <w:sz w:val="22"/>
        </w:rPr>
        <w:t>84.3% accuracy (F1 = 0.828) on a proprietary power metering infrastructure dataset — demonstrating cross-domain generalisation beyond cloud systems.</w:t>
      </w:r>
    </w:p>
    <w:p>
      <w:pPr>
        <w:pStyle w:val="ListBullet"/>
        <w:spacing w:before="20" w:after="40"/>
        <w:ind w:left="432"/>
      </w:pPr>
      <w:r>
        <w:rPr>
          <w:color w:val="1A1A2E"/>
          <w:sz w:val="22"/>
        </w:rPr>
        <w:t>Ablation confirms all four agents are necessary: removing the Retrieval Agent causes the largest performance drop (F1: 0.952→0.295 on Nezha), confirming that historical knowledge grounding is the most critical component.</w:t>
      </w:r>
    </w:p>
    <w:p>
      <w:pPr>
        <w:pStyle w:val="ListBullet"/>
        <w:spacing w:before="20" w:after="40"/>
        <w:ind w:left="432"/>
      </w:pPr>
      <w:r>
        <w:rPr>
          <w:color w:val="1A1A2E"/>
          <w:sz w:val="22"/>
        </w:rPr>
        <w:t>Optimal retrieval at 5 historical cases per query — fewer cases limit coverage, more cases introduce noise (performance peaks at top-5, degrades at top-20).</w:t>
      </w:r>
    </w:p>
    <w:p>
      <w:pPr>
        <w:pStyle w:val="ListBullet"/>
        <w:spacing w:before="20" w:after="40"/>
        <w:ind w:left="432"/>
      </w:pPr>
      <w:r>
        <w:rPr>
          <w:color w:val="1A1A2E"/>
          <w:sz w:val="22"/>
        </w:rPr>
        <w:t>Successfully deployed in a real power metering infrastructure diagnostic system as a production-ready plugin.</w:t>
      </w:r>
    </w:p>
    <w:p>
      <w:pPr>
        <w:spacing w:before="200" w:after="60"/>
      </w:pPr>
      <w:r>
        <w:rPr>
          <w:b/>
          <w:color w:val="006E6E"/>
          <w:sz w:val="24"/>
        </w:rPr>
        <w:t>Limitations and Research Gaps</w:t>
      </w:r>
    </w:p>
    <w:p>
      <w:pPr>
        <w:spacing w:before="140" w:after="40"/>
      </w:pPr>
      <w:r>
        <w:rPr>
          <w:b/>
          <w:color w:val="1A1A2E"/>
          <w:sz w:val="22"/>
        </w:rPr>
        <w:t>Limitation 1: IT Infrastructure and Power Systems Only</w:t>
      </w:r>
    </w:p>
    <w:p>
      <w:pPr>
        <w:spacing w:before="0" w:after="100"/>
        <w:jc w:val="both"/>
      </w:pPr>
      <w:r>
        <w:rPr>
          <w:color w:val="1A1A2E"/>
          <w:sz w:val="22"/>
        </w:rPr>
        <w:t>MA-RCA was designed and evaluated exclusively on cloud-native microservice failures and electrical infrastructure anomalies. Business KPI anomalies — revenue drops, conversion rate declines, churn spikes — operate in a completely different domain with different data modalities (time series metrics vs. distributed traces), different causal structures, and different stakeholder requirements. The historical case repository, tool integrations, and domain knowledge are all domain-specific.</w:t>
      </w:r>
    </w:p>
    <w:p>
      <w:pPr>
        <w:spacing w:before="140" w:after="40"/>
      </w:pPr>
      <w:r>
        <w:rPr>
          <w:b/>
          <w:color w:val="1A1A2E"/>
          <w:sz w:val="22"/>
        </w:rPr>
        <w:t>Limitation 2: Quality of Historical Case Repository Is Critical</w:t>
      </w:r>
    </w:p>
    <w:p>
      <w:pPr>
        <w:spacing w:before="0" w:after="100"/>
        <w:jc w:val="both"/>
      </w:pPr>
      <w:r>
        <w:rPr>
          <w:color w:val="1A1A2E"/>
          <w:sz w:val="22"/>
        </w:rPr>
        <w:t>Performance degrades significantly when the historical case repository is sparse, outdated, or domain-mismatched. The system requires a well-maintained repository of resolved incidents with root cause labels — a data asset that most businesses do not have. KAIROS avoids this dependency by using DYNOTEARS to learn causal structures directly from metric data without requiring labeled historical fault cases.</w:t>
      </w:r>
    </w:p>
    <w:p>
      <w:pPr>
        <w:spacing w:before="140" w:after="40"/>
      </w:pPr>
      <w:r>
        <w:rPr>
          <w:b/>
          <w:color w:val="1A1A2E"/>
          <w:sz w:val="22"/>
        </w:rPr>
        <w:t>Limitation 3: Additional Latency from Multi-Agent Coordination</w:t>
      </w:r>
    </w:p>
    <w:p>
      <w:pPr>
        <w:spacing w:before="0" w:after="100"/>
        <w:jc w:val="both"/>
      </w:pPr>
      <w:r>
        <w:rPr>
          <w:color w:val="1A1A2E"/>
          <w:sz w:val="22"/>
        </w:rPr>
        <w:t>The sequential orchestration of four agents — retrieval, validation, reporting, and coordination — introduces non-trivial latency compared to direct inference. In highly time-sensitive business scenarios (e.g., detecting a real-time payment processing anomaly), the multi-agent overhead may make sub-minute response times challenging.</w:t>
      </w:r>
    </w:p>
    <w:p>
      <w:r>
        <w:br w:type="page"/>
      </w:r>
    </w:p>
    <w:p>
      <w:pPr>
        <w:spacing w:before="320" w:after="80"/>
        <w:pBdr>
          <w:bottom w:val="single" w:sz="8" w:space="1" w:color="0D47A1"/>
        </w:pBdr>
      </w:pPr>
      <w:r>
        <w:rPr>
          <w:b/>
          <w:color w:val="0D47A1"/>
          <w:sz w:val="32"/>
        </w:rPr>
        <w:t>UPDATED MASTER SUMMARY TABLE — All 18 Papers</w:t>
      </w:r>
    </w:p>
    <w:p>
      <w:pPr>
        <w:spacing w:before="0" w:after="100"/>
        <w:jc w:val="both"/>
      </w:pPr>
      <w:r>
        <w:rPr>
          <w:color w:val="1A1A2E"/>
          <w:sz w:val="22"/>
        </w:rPr>
        <w:t>This updated table summarises all 18 papers in the complete literature review. Use this for the Technology Review chapter.</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504"/>
            <w:shd w:val="clear" w:color="auto" w:fill="0D47A1"/>
          </w:tcPr>
          <w:p>
            <w:pPr>
              <w:jc w:val="center"/>
            </w:pPr>
            <w:r>
              <w:rPr>
                <w:b/>
                <w:color w:val="FFFFFF"/>
                <w:sz w:val="16"/>
              </w:rPr>
              <w:t>S.No</w:t>
            </w:r>
          </w:p>
        </w:tc>
        <w:tc>
          <w:tcPr>
            <w:tcW w:type="dxa" w:w="2160"/>
            <w:shd w:val="clear" w:color="auto" w:fill="0D47A1"/>
          </w:tcPr>
          <w:p>
            <w:pPr>
              <w:jc w:val="center"/>
            </w:pPr>
            <w:r>
              <w:rPr>
                <w:b/>
                <w:color w:val="FFFFFF"/>
                <w:sz w:val="16"/>
              </w:rPr>
              <w:t>Title</w:t>
            </w:r>
          </w:p>
        </w:tc>
        <w:tc>
          <w:tcPr>
            <w:tcW w:type="dxa" w:w="1584"/>
            <w:shd w:val="clear" w:color="auto" w:fill="0D47A1"/>
          </w:tcPr>
          <w:p>
            <w:pPr>
              <w:jc w:val="center"/>
            </w:pPr>
            <w:r>
              <w:rPr>
                <w:b/>
                <w:color w:val="FFFFFF"/>
                <w:sz w:val="16"/>
              </w:rPr>
              <w:t>Authors</w:t>
            </w:r>
          </w:p>
        </w:tc>
        <w:tc>
          <w:tcPr>
            <w:tcW w:type="dxa" w:w="720"/>
            <w:shd w:val="clear" w:color="auto" w:fill="0D47A1"/>
          </w:tcPr>
          <w:p>
            <w:pPr>
              <w:jc w:val="center"/>
            </w:pPr>
            <w:r>
              <w:rPr>
                <w:b/>
                <w:color w:val="FFFFFF"/>
                <w:sz w:val="16"/>
              </w:rPr>
              <w:t>Year</w:t>
            </w:r>
          </w:p>
        </w:tc>
        <w:tc>
          <w:tcPr>
            <w:tcW w:type="dxa" w:w="3168"/>
            <w:shd w:val="clear" w:color="auto" w:fill="0D47A1"/>
          </w:tcPr>
          <w:p>
            <w:pPr>
              <w:jc w:val="center"/>
            </w:pPr>
            <w:r>
              <w:rPr>
                <w:b/>
                <w:color w:val="FFFFFF"/>
                <w:sz w:val="16"/>
              </w:rPr>
              <w:t>Key Findings (2 points)</w:t>
            </w:r>
          </w:p>
        </w:tc>
        <w:tc>
          <w:tcPr>
            <w:tcW w:type="dxa" w:w="2880"/>
            <w:shd w:val="clear" w:color="auto" w:fill="0D47A1"/>
          </w:tcPr>
          <w:p>
            <w:pPr>
              <w:jc w:val="center"/>
            </w:pPr>
            <w:r>
              <w:rPr>
                <w:b/>
                <w:color w:val="FFFFFF"/>
                <w:sz w:val="16"/>
              </w:rPr>
              <w:t>Research Gap (2 points)</w:t>
            </w:r>
          </w:p>
        </w:tc>
      </w:tr>
      <w:tr>
        <w:tc>
          <w:tcPr>
            <w:tcW w:type="dxa" w:w="504"/>
            <w:shd w:val="clear" w:color="auto" w:fill="EEF4FF"/>
          </w:tcPr>
          <w:p>
            <w:r>
              <w:rPr>
                <w:color w:val="1A1A2E"/>
                <w:sz w:val="15"/>
              </w:rPr>
              <w:t>1</w:t>
            </w:r>
          </w:p>
        </w:tc>
        <w:tc>
          <w:tcPr>
            <w:tcW w:type="dxa" w:w="2160"/>
            <w:shd w:val="clear" w:color="auto" w:fill="EEF4FF"/>
          </w:tcPr>
          <w:p>
            <w:r>
              <w:rPr>
                <w:color w:val="1A1A2E"/>
                <w:sz w:val="15"/>
              </w:rPr>
              <w:t>ReAct: Synergizing Reasoning and Acting</w:t>
            </w:r>
          </w:p>
        </w:tc>
        <w:tc>
          <w:tcPr>
            <w:tcW w:type="dxa" w:w="1584"/>
            <w:shd w:val="clear" w:color="auto" w:fill="EEF4FF"/>
          </w:tcPr>
          <w:p>
            <w:r>
              <w:rPr>
                <w:color w:val="1A1A2E"/>
                <w:sz w:val="15"/>
              </w:rPr>
              <w:t>Yao et al. (Princeton/Google)</w:t>
            </w:r>
          </w:p>
        </w:tc>
        <w:tc>
          <w:tcPr>
            <w:tcW w:type="dxa" w:w="720"/>
            <w:shd w:val="clear" w:color="auto" w:fill="EEF4FF"/>
          </w:tcPr>
          <w:p>
            <w:r>
              <w:rPr>
                <w:color w:val="1A1A2E"/>
                <w:sz w:val="15"/>
              </w:rPr>
              <w:t>2023</w:t>
            </w:r>
          </w:p>
        </w:tc>
        <w:tc>
          <w:tcPr>
            <w:tcW w:type="dxa" w:w="3168"/>
            <w:shd w:val="clear" w:color="auto" w:fill="EEF4FF"/>
          </w:tcPr>
          <w:p>
            <w:r>
              <w:rPr>
                <w:color w:val="1A1A2E"/>
                <w:sz w:val="15"/>
              </w:rPr>
              <w:t>1. First Thought-Action-Observation loop; interleaves reasoning and tool use; reduces hallucination 8% vs CoT on HotPotQA. 2. Foundation for all modern LLM agents; +34% on ALFWorld and +10% on WebShop vs RL baselines.</w:t>
            </w:r>
          </w:p>
        </w:tc>
        <w:tc>
          <w:tcPr>
            <w:tcW w:type="dxa" w:w="2880"/>
            <w:shd w:val="clear" w:color="auto" w:fill="EEF4FF"/>
          </w:tcPr>
          <w:p>
            <w:r>
              <w:rPr>
                <w:color w:val="1A1A2E"/>
                <w:sz w:val="15"/>
              </w:rPr>
              <w:t>1. Manual reasoning trajectories required; fails when tools return bad results. 2. Single-agent, reactive only; no multi-agent, no long-term memory, no autonomous planning.</w:t>
            </w:r>
          </w:p>
        </w:tc>
      </w:tr>
      <w:tr>
        <w:tc>
          <w:tcPr>
            <w:tcW w:type="dxa" w:w="504"/>
            <w:shd w:val="clear" w:color="auto" w:fill="FFFFFF"/>
          </w:tcPr>
          <w:p>
            <w:r>
              <w:rPr>
                <w:color w:val="1A1A2E"/>
                <w:sz w:val="15"/>
              </w:rPr>
              <w:t>2</w:t>
            </w:r>
          </w:p>
        </w:tc>
        <w:tc>
          <w:tcPr>
            <w:tcW w:type="dxa" w:w="2160"/>
            <w:shd w:val="clear" w:color="auto" w:fill="FFFFFF"/>
          </w:tcPr>
          <w:p>
            <w:r>
              <w:rPr>
                <w:color w:val="1A1A2E"/>
                <w:sz w:val="15"/>
              </w:rPr>
              <w:t>InsightPilot</w:t>
            </w:r>
          </w:p>
        </w:tc>
        <w:tc>
          <w:tcPr>
            <w:tcW w:type="dxa" w:w="1584"/>
            <w:shd w:val="clear" w:color="auto" w:fill="FFFFFF"/>
          </w:tcPr>
          <w:p>
            <w:r>
              <w:rPr>
                <w:color w:val="1A1A2E"/>
                <w:sz w:val="15"/>
              </w:rPr>
              <w:t>Ma et al. (Microsoft Research)</w:t>
            </w:r>
          </w:p>
        </w:tc>
        <w:tc>
          <w:tcPr>
            <w:tcW w:type="dxa" w:w="720"/>
            <w:shd w:val="clear" w:color="auto" w:fill="FFFFFF"/>
          </w:tcPr>
          <w:p>
            <w:r>
              <w:rPr>
                <w:color w:val="1A1A2E"/>
                <w:sz w:val="15"/>
              </w:rPr>
              <w:t>2023</w:t>
            </w:r>
          </w:p>
        </w:tc>
        <w:tc>
          <w:tcPr>
            <w:tcW w:type="dxa" w:w="3168"/>
            <w:shd w:val="clear" w:color="auto" w:fill="FFFFFF"/>
          </w:tcPr>
          <w:p>
            <w:r>
              <w:rPr>
                <w:color w:val="1A1A2E"/>
                <w:sz w:val="15"/>
              </w:rPr>
              <w:t>1. LLM + Insight Engine for automated EDA using 4 actions (Understand, Summarize, Compare, Explain); grounded insights via IQuery abstraction. 2. Outperformed Code Interpreter and LangChain Pandas Agent in relevance and completeness.</w:t>
            </w:r>
          </w:p>
        </w:tc>
        <w:tc>
          <w:tcPr>
            <w:tcW w:type="dxa" w:w="2880"/>
            <w:shd w:val="clear" w:color="auto" w:fill="FFFFFF"/>
          </w:tcPr>
          <w:p>
            <w:r>
              <w:rPr>
                <w:color w:val="1A1A2E"/>
                <w:sz w:val="15"/>
              </w:rPr>
              <w:t>1. Only 4 predefined actions; cannot handle open-ended or custom analyses. 2. Reactive; requires user to start every session; no real-time monitoring.</w:t>
            </w:r>
          </w:p>
        </w:tc>
      </w:tr>
      <w:tr>
        <w:tc>
          <w:tcPr>
            <w:tcW w:type="dxa" w:w="504"/>
            <w:shd w:val="clear" w:color="auto" w:fill="EEF4FF"/>
          </w:tcPr>
          <w:p>
            <w:r>
              <w:rPr>
                <w:color w:val="1A1A2E"/>
                <w:sz w:val="15"/>
              </w:rPr>
              <w:t>3</w:t>
            </w:r>
          </w:p>
        </w:tc>
        <w:tc>
          <w:tcPr>
            <w:tcW w:type="dxa" w:w="2160"/>
            <w:shd w:val="clear" w:color="auto" w:fill="EEF4FF"/>
          </w:tcPr>
          <w:p>
            <w:r>
              <w:rPr>
                <w:color w:val="1A1A2E"/>
                <w:sz w:val="15"/>
              </w:rPr>
              <w:t>Data-Copilot</w:t>
            </w:r>
          </w:p>
        </w:tc>
        <w:tc>
          <w:tcPr>
            <w:tcW w:type="dxa" w:w="1584"/>
            <w:shd w:val="clear" w:color="auto" w:fill="EEF4FF"/>
          </w:tcPr>
          <w:p>
            <w:r>
              <w:rPr>
                <w:color w:val="1A1A2E"/>
                <w:sz w:val="15"/>
              </w:rPr>
              <w:t>Zhang et al. (Zhejiang U)</w:t>
            </w:r>
          </w:p>
        </w:tc>
        <w:tc>
          <w:tcPr>
            <w:tcW w:type="dxa" w:w="720"/>
            <w:shd w:val="clear" w:color="auto" w:fill="EEF4FF"/>
          </w:tcPr>
          <w:p>
            <w:r>
              <w:rPr>
                <w:color w:val="1A1A2E"/>
                <w:sz w:val="15"/>
              </w:rPr>
              <w:t>2024</w:t>
            </w:r>
          </w:p>
        </w:tc>
        <w:tc>
          <w:tcPr>
            <w:tcW w:type="dxa" w:w="3168"/>
            <w:shd w:val="clear" w:color="auto" w:fill="EEF4FF"/>
          </w:tcPr>
          <w:p>
            <w:r>
              <w:rPr>
                <w:color w:val="1A1A2E"/>
                <w:sz w:val="15"/>
              </w:rPr>
              <w:t>1. Two-stage workflow (Interface Design + Dispatch) with reusable interfaces; 40% token reduction. 2. Outperformed ReAct, Reflexion, Multi-Agent on large-scale Chinese financial data.</w:t>
            </w:r>
          </w:p>
        </w:tc>
        <w:tc>
          <w:tcPr>
            <w:tcW w:type="dxa" w:w="2880"/>
            <w:shd w:val="clear" w:color="auto" w:fill="EEF4FF"/>
          </w:tcPr>
          <w:p>
            <w:r>
              <w:rPr>
                <w:color w:val="1A1A2E"/>
                <w:sz w:val="15"/>
              </w:rPr>
              <w:t>1. Financial domain only; interface design is domain-specific. 2. Cannot create new interfaces post-deployment; no real-time streaming.</w:t>
            </w:r>
          </w:p>
        </w:tc>
      </w:tr>
      <w:tr>
        <w:tc>
          <w:tcPr>
            <w:tcW w:type="dxa" w:w="504"/>
            <w:shd w:val="clear" w:color="auto" w:fill="FFFFFF"/>
          </w:tcPr>
          <w:p>
            <w:r>
              <w:rPr>
                <w:color w:val="1A1A2E"/>
                <w:sz w:val="15"/>
              </w:rPr>
              <w:t>4</w:t>
            </w:r>
          </w:p>
        </w:tc>
        <w:tc>
          <w:tcPr>
            <w:tcW w:type="dxa" w:w="2160"/>
            <w:shd w:val="clear" w:color="auto" w:fill="FFFFFF"/>
          </w:tcPr>
          <w:p>
            <w:r>
              <w:rPr>
                <w:color w:val="1A1A2E"/>
                <w:sz w:val="15"/>
              </w:rPr>
              <w:t>Causal-Copilot</w:t>
            </w:r>
          </w:p>
        </w:tc>
        <w:tc>
          <w:tcPr>
            <w:tcW w:type="dxa" w:w="1584"/>
            <w:shd w:val="clear" w:color="auto" w:fill="FFFFFF"/>
          </w:tcPr>
          <w:p>
            <w:r>
              <w:rPr>
                <w:color w:val="1A1A2E"/>
                <w:sz w:val="15"/>
              </w:rPr>
              <w:t>Zhang et al.</w:t>
            </w:r>
          </w:p>
        </w:tc>
        <w:tc>
          <w:tcPr>
            <w:tcW w:type="dxa" w:w="720"/>
            <w:shd w:val="clear" w:color="auto" w:fill="FFFFFF"/>
          </w:tcPr>
          <w:p>
            <w:r>
              <w:rPr>
                <w:color w:val="1A1A2E"/>
                <w:sz w:val="15"/>
              </w:rPr>
              <w:t>2025</w:t>
            </w:r>
          </w:p>
        </w:tc>
        <w:tc>
          <w:tcPr>
            <w:tcW w:type="dxa" w:w="3168"/>
            <w:shd w:val="clear" w:color="auto" w:fill="FFFFFF"/>
          </w:tcPr>
          <w:p>
            <w:r>
              <w:rPr>
                <w:color w:val="1A1A2E"/>
                <w:sz w:val="15"/>
              </w:rPr>
              <w:t>1. LLM auto-selects causal algorithms (PC, LiNGAM, NOTEARS, DYNOTEARS) based on data characteristics. 2. Robust across variable counts, sample sizes, time lags, edge densities.</w:t>
            </w:r>
          </w:p>
        </w:tc>
        <w:tc>
          <w:tcPr>
            <w:tcW w:type="dxa" w:w="2880"/>
            <w:shd w:val="clear" w:color="auto" w:fill="FFFFFF"/>
          </w:tcPr>
          <w:p>
            <w:r>
              <w:rPr>
                <w:color w:val="1A1A2E"/>
                <w:sz w:val="15"/>
              </w:rPr>
              <w:t>1. Uses existing algorithms only — no new causal method. 2. Static datasets only; no real-time streaming; no anomaly detection integration.</w:t>
            </w:r>
          </w:p>
        </w:tc>
      </w:tr>
      <w:tr>
        <w:tc>
          <w:tcPr>
            <w:tcW w:type="dxa" w:w="504"/>
            <w:shd w:val="clear" w:color="auto" w:fill="EEF4FF"/>
          </w:tcPr>
          <w:p>
            <w:r>
              <w:rPr>
                <w:color w:val="1A1A2E"/>
                <w:sz w:val="15"/>
              </w:rPr>
              <w:t>5</w:t>
            </w:r>
          </w:p>
        </w:tc>
        <w:tc>
          <w:tcPr>
            <w:tcW w:type="dxa" w:w="2160"/>
            <w:shd w:val="clear" w:color="auto" w:fill="EEF4FF"/>
          </w:tcPr>
          <w:p>
            <w:r>
              <w:rPr>
                <w:color w:val="1A1A2E"/>
                <w:sz w:val="15"/>
              </w:rPr>
              <w:t>BIRD Benchmark</w:t>
            </w:r>
          </w:p>
        </w:tc>
        <w:tc>
          <w:tcPr>
            <w:tcW w:type="dxa" w:w="1584"/>
            <w:shd w:val="clear" w:color="auto" w:fill="EEF4FF"/>
          </w:tcPr>
          <w:p>
            <w:r>
              <w:rPr>
                <w:color w:val="1A1A2E"/>
                <w:sz w:val="15"/>
              </w:rPr>
              <w:t>Li et al. (Multi-institution)</w:t>
            </w:r>
          </w:p>
        </w:tc>
        <w:tc>
          <w:tcPr>
            <w:tcW w:type="dxa" w:w="720"/>
            <w:shd w:val="clear" w:color="auto" w:fill="EEF4FF"/>
          </w:tcPr>
          <w:p>
            <w:r>
              <w:rPr>
                <w:color w:val="1A1A2E"/>
                <w:sz w:val="15"/>
              </w:rPr>
              <w:t>2023</w:t>
            </w:r>
          </w:p>
        </w:tc>
        <w:tc>
          <w:tcPr>
            <w:tcW w:type="dxa" w:w="3168"/>
            <w:shd w:val="clear" w:color="auto" w:fill="EEF4FF"/>
          </w:tcPr>
          <w:p>
            <w:r>
              <w:rPr>
                <w:color w:val="1A1A2E"/>
                <w:sz w:val="15"/>
              </w:rPr>
              <w:t>1. First realistic Text-to-SQL benchmark: 12,751 pairs across 95 databases (33.4 GB); adds dirty data, external knowledge, SQL efficiency. 2. ChatGPT achieves only 40% vs 92.96% human — real-world NL2SQL is unsolved.</w:t>
            </w:r>
          </w:p>
        </w:tc>
        <w:tc>
          <w:tcPr>
            <w:tcW w:type="dxa" w:w="2880"/>
            <w:shd w:val="clear" w:color="auto" w:fill="EEF4FF"/>
          </w:tcPr>
          <w:p>
            <w:r>
              <w:rPr>
                <w:color w:val="1A1A2E"/>
                <w:sz w:val="15"/>
              </w:rPr>
              <w:t>1. English only; cannot assess multilingual or non-standard schemas. 2. Static benchmark; does not evaluate robustness to schema evolution.</w:t>
            </w:r>
          </w:p>
        </w:tc>
      </w:tr>
      <w:tr>
        <w:tc>
          <w:tcPr>
            <w:tcW w:type="dxa" w:w="504"/>
            <w:shd w:val="clear" w:color="auto" w:fill="FFFFFF"/>
          </w:tcPr>
          <w:p>
            <w:r>
              <w:rPr>
                <w:color w:val="1A1A2E"/>
                <w:sz w:val="15"/>
              </w:rPr>
              <w:t>6</w:t>
            </w:r>
          </w:p>
        </w:tc>
        <w:tc>
          <w:tcPr>
            <w:tcW w:type="dxa" w:w="2160"/>
            <w:shd w:val="clear" w:color="auto" w:fill="FFFFFF"/>
          </w:tcPr>
          <w:p>
            <w:r>
              <w:rPr>
                <w:color w:val="1A1A2E"/>
                <w:sz w:val="15"/>
              </w:rPr>
              <w:t>RCAgent</w:t>
            </w:r>
          </w:p>
        </w:tc>
        <w:tc>
          <w:tcPr>
            <w:tcW w:type="dxa" w:w="1584"/>
            <w:shd w:val="clear" w:color="auto" w:fill="FFFFFF"/>
          </w:tcPr>
          <w:p>
            <w:r>
              <w:rPr>
                <w:color w:val="1A1A2E"/>
                <w:sz w:val="15"/>
              </w:rPr>
              <w:t>Wang et al. (Alibaba Cloud)</w:t>
            </w:r>
          </w:p>
        </w:tc>
        <w:tc>
          <w:tcPr>
            <w:tcW w:type="dxa" w:w="720"/>
            <w:shd w:val="clear" w:color="auto" w:fill="FFFFFF"/>
          </w:tcPr>
          <w:p>
            <w:r>
              <w:rPr>
                <w:color w:val="1A1A2E"/>
                <w:sz w:val="15"/>
              </w:rPr>
              <w:t>2024</w:t>
            </w:r>
          </w:p>
        </w:tc>
        <w:tc>
          <w:tcPr>
            <w:tcW w:type="dxa" w:w="3168"/>
            <w:shd w:val="clear" w:color="auto" w:fill="FFFFFF"/>
          </w:tcPr>
          <w:p>
            <w:r>
              <w:rPr>
                <w:color w:val="1A1A2E"/>
                <w:sz w:val="15"/>
              </w:rPr>
              <w:t>1. Tool-augmented LLM agent for cloud RCA with Self-Consistency across trajectories; deployed in Alibaba Flink. 2. Outperforms ReAct on all RCA aspects; handles incidents beyond existing rule coverage.</w:t>
            </w:r>
          </w:p>
        </w:tc>
        <w:tc>
          <w:tcPr>
            <w:tcW w:type="dxa" w:w="2880"/>
            <w:shd w:val="clear" w:color="auto" w:fill="FFFFFF"/>
          </w:tcPr>
          <w:p>
            <w:r>
              <w:rPr>
                <w:color w:val="1A1A2E"/>
                <w:sz w:val="15"/>
              </w:rPr>
              <w:t>1. Cloud IT infrastructure only — not business KPI anomalies. 2. Reactive; triggered by incident report; no proactive monitoring.</w:t>
            </w:r>
          </w:p>
        </w:tc>
      </w:tr>
      <w:tr>
        <w:tc>
          <w:tcPr>
            <w:tcW w:type="dxa" w:w="504"/>
            <w:shd w:val="clear" w:color="auto" w:fill="EEF4FF"/>
          </w:tcPr>
          <w:p>
            <w:r>
              <w:rPr>
                <w:color w:val="1A1A2E"/>
                <w:sz w:val="15"/>
              </w:rPr>
              <w:t>7</w:t>
            </w:r>
          </w:p>
        </w:tc>
        <w:tc>
          <w:tcPr>
            <w:tcW w:type="dxa" w:w="2160"/>
            <w:shd w:val="clear" w:color="auto" w:fill="EEF4FF"/>
          </w:tcPr>
          <w:p>
            <w:r>
              <w:rPr>
                <w:color w:val="1A1A2E"/>
                <w:sz w:val="15"/>
              </w:rPr>
              <w:t>Exploring LLM Agents for RCA</w:t>
            </w:r>
          </w:p>
        </w:tc>
        <w:tc>
          <w:tcPr>
            <w:tcW w:type="dxa" w:w="1584"/>
            <w:shd w:val="clear" w:color="auto" w:fill="EEF4FF"/>
          </w:tcPr>
          <w:p>
            <w:r>
              <w:rPr>
                <w:color w:val="1A1A2E"/>
                <w:sz w:val="15"/>
              </w:rPr>
              <w:t>Roy et al. (Microsoft)</w:t>
            </w:r>
          </w:p>
        </w:tc>
        <w:tc>
          <w:tcPr>
            <w:tcW w:type="dxa" w:w="720"/>
            <w:shd w:val="clear" w:color="auto" w:fill="EEF4FF"/>
          </w:tcPr>
          <w:p>
            <w:r>
              <w:rPr>
                <w:color w:val="1A1A2E"/>
                <w:sz w:val="15"/>
              </w:rPr>
              <w:t>2024</w:t>
            </w:r>
          </w:p>
        </w:tc>
        <w:tc>
          <w:tcPr>
            <w:tcW w:type="dxa" w:w="3168"/>
            <w:shd w:val="clear" w:color="auto" w:fill="EEF4FF"/>
          </w:tcPr>
          <w:p>
            <w:r>
              <w:rPr>
                <w:color w:val="1A1A2E"/>
                <w:sz w:val="15"/>
              </w:rPr>
              <w:t>1. ReAct + retrieval tools significantly outperforms static LLM for cloud incident RCA at Microsoft. 2. Dynamic tool-based collection is critical; discussion threads do not improve performance.</w:t>
            </w:r>
          </w:p>
        </w:tc>
        <w:tc>
          <w:tcPr>
            <w:tcW w:type="dxa" w:w="2880"/>
            <w:shd w:val="clear" w:color="auto" w:fill="EEF4FF"/>
          </w:tcPr>
          <w:p>
            <w:r>
              <w:rPr>
                <w:color w:val="1A1A2E"/>
                <w:sz w:val="15"/>
              </w:rPr>
              <w:t>1. IT infrastructure domain only; business KPI RCA not evaluated. 2. No formal causal graph; cannot distinguish causation from correlation.</w:t>
            </w:r>
          </w:p>
        </w:tc>
      </w:tr>
      <w:tr>
        <w:tc>
          <w:tcPr>
            <w:tcW w:type="dxa" w:w="504"/>
            <w:shd w:val="clear" w:color="auto" w:fill="FFFFFF"/>
          </w:tcPr>
          <w:p>
            <w:r>
              <w:rPr>
                <w:color w:val="1A1A2E"/>
                <w:sz w:val="15"/>
              </w:rPr>
              <w:t>8</w:t>
            </w:r>
          </w:p>
        </w:tc>
        <w:tc>
          <w:tcPr>
            <w:tcW w:type="dxa" w:w="2160"/>
            <w:shd w:val="clear" w:color="auto" w:fill="FFFFFF"/>
          </w:tcPr>
          <w:p>
            <w:r>
              <w:rPr>
                <w:color w:val="1A1A2E"/>
                <w:sz w:val="15"/>
              </w:rPr>
              <w:t>DABL — Business Process Anomaly</w:t>
            </w:r>
          </w:p>
        </w:tc>
        <w:tc>
          <w:tcPr>
            <w:tcW w:type="dxa" w:w="1584"/>
            <w:shd w:val="clear" w:color="auto" w:fill="FFFFFF"/>
          </w:tcPr>
          <w:p>
            <w:r>
              <w:rPr>
                <w:color w:val="1A1A2E"/>
                <w:sz w:val="15"/>
              </w:rPr>
              <w:t>Guan et al. (SJTU)</w:t>
            </w:r>
          </w:p>
        </w:tc>
        <w:tc>
          <w:tcPr>
            <w:tcW w:type="dxa" w:w="720"/>
            <w:shd w:val="clear" w:color="auto" w:fill="FFFFFF"/>
          </w:tcPr>
          <w:p>
            <w:r>
              <w:rPr>
                <w:color w:val="1A1A2E"/>
                <w:sz w:val="15"/>
              </w:rPr>
              <w:t>2025</w:t>
            </w:r>
          </w:p>
        </w:tc>
        <w:tc>
          <w:tcPr>
            <w:tcW w:type="dxa" w:w="3168"/>
            <w:shd w:val="clear" w:color="auto" w:fill="FFFFFF"/>
          </w:tcPr>
          <w:p>
            <w:r>
              <w:rPr>
                <w:color w:val="1A1A2E"/>
                <w:sz w:val="15"/>
              </w:rPr>
              <w:t>1. Fine-tuned Llama 2 on 143,137 process models detects semantic anomalies in business processes with natural language explanation. 2. Trace-level context captures long-distance activity dependencies.</w:t>
            </w:r>
          </w:p>
        </w:tc>
        <w:tc>
          <w:tcPr>
            <w:tcW w:type="dxa" w:w="2880"/>
            <w:shd w:val="clear" w:color="auto" w:fill="FFFFFF"/>
          </w:tcPr>
          <w:p>
            <w:r>
              <w:rPr>
                <w:color w:val="1A1A2E"/>
                <w:sz w:val="15"/>
              </w:rPr>
              <w:t>1. Business process traces only — not business KPI time series (revenue, churn). 2. No root cause attribution to external causal drivers.</w:t>
            </w:r>
          </w:p>
        </w:tc>
      </w:tr>
      <w:tr>
        <w:tc>
          <w:tcPr>
            <w:tcW w:type="dxa" w:w="504"/>
            <w:shd w:val="clear" w:color="auto" w:fill="EEF4FF"/>
          </w:tcPr>
          <w:p>
            <w:r>
              <w:rPr>
                <w:color w:val="1A1A2E"/>
                <w:sz w:val="15"/>
              </w:rPr>
              <w:t>9</w:t>
            </w:r>
          </w:p>
        </w:tc>
        <w:tc>
          <w:tcPr>
            <w:tcW w:type="dxa" w:w="2160"/>
            <w:shd w:val="clear" w:color="auto" w:fill="EEF4FF"/>
          </w:tcPr>
          <w:p>
            <w:r>
              <w:rPr>
                <w:color w:val="1A1A2E"/>
                <w:sz w:val="15"/>
              </w:rPr>
              <w:t>Graph-Aug Multi-Agent RCA</w:t>
            </w:r>
          </w:p>
        </w:tc>
        <w:tc>
          <w:tcPr>
            <w:tcW w:type="dxa" w:w="1584"/>
            <w:shd w:val="clear" w:color="auto" w:fill="EEF4FF"/>
          </w:tcPr>
          <w:p>
            <w:r>
              <w:rPr>
                <w:color w:val="1A1A2E"/>
                <w:sz w:val="15"/>
              </w:rPr>
              <w:t>Zou et al. (State Grid/Wuhan U)</w:t>
            </w:r>
          </w:p>
        </w:tc>
        <w:tc>
          <w:tcPr>
            <w:tcW w:type="dxa" w:w="720"/>
            <w:shd w:val="clear" w:color="auto" w:fill="EEF4FF"/>
          </w:tcPr>
          <w:p>
            <w:r>
              <w:rPr>
                <w:color w:val="1A1A2E"/>
                <w:sz w:val="15"/>
              </w:rPr>
              <w:t>2026</w:t>
            </w:r>
          </w:p>
        </w:tc>
        <w:tc>
          <w:tcPr>
            <w:tcW w:type="dxa" w:w="3168"/>
            <w:shd w:val="clear" w:color="auto" w:fill="EEF4FF"/>
          </w:tcPr>
          <w:p>
            <w:r>
              <w:rPr>
                <w:color w:val="1A1A2E"/>
                <w:sz w:val="15"/>
              </w:rPr>
              <w:t>1. Anomaly Fusion Graph unifies metrics, traces, logs; Navigator+Diagnoser+Verifier agents achieve 88.4% F1. 2. Adversarial verification uses counterfactual reasoning to reduce hallucinations.</w:t>
            </w:r>
          </w:p>
        </w:tc>
        <w:tc>
          <w:tcPr>
            <w:tcW w:type="dxa" w:w="2880"/>
            <w:shd w:val="clear" w:color="auto" w:fill="EEF4FF"/>
          </w:tcPr>
          <w:p>
            <w:r>
              <w:rPr>
                <w:color w:val="1A1A2E"/>
                <w:sz w:val="15"/>
              </w:rPr>
              <w:t>1. Microservice IT infrastructure only — not business KPI monitoring. 2. No proactive monitoring; triggered by observed incident.</w:t>
            </w:r>
          </w:p>
        </w:tc>
      </w:tr>
      <w:tr>
        <w:tc>
          <w:tcPr>
            <w:tcW w:type="dxa" w:w="504"/>
            <w:shd w:val="clear" w:color="auto" w:fill="FFFFFF"/>
          </w:tcPr>
          <w:p>
            <w:r>
              <w:rPr>
                <w:color w:val="1A1A2E"/>
                <w:sz w:val="15"/>
              </w:rPr>
              <w:t>10</w:t>
            </w:r>
          </w:p>
        </w:tc>
        <w:tc>
          <w:tcPr>
            <w:tcW w:type="dxa" w:w="2160"/>
            <w:shd w:val="clear" w:color="auto" w:fill="FFFFFF"/>
          </w:tcPr>
          <w:p>
            <w:r>
              <w:rPr>
                <w:color w:val="1A1A2E"/>
                <w:sz w:val="15"/>
              </w:rPr>
              <w:t>LLMs for Causal Discovery Survey</w:t>
            </w:r>
          </w:p>
        </w:tc>
        <w:tc>
          <w:tcPr>
            <w:tcW w:type="dxa" w:w="1584"/>
            <w:shd w:val="clear" w:color="auto" w:fill="FFFFFF"/>
          </w:tcPr>
          <w:p>
            <w:r>
              <w:rPr>
                <w:color w:val="1A1A2E"/>
                <w:sz w:val="15"/>
              </w:rPr>
              <w:t>Wan et al. (U Georgia)</w:t>
            </w:r>
          </w:p>
        </w:tc>
        <w:tc>
          <w:tcPr>
            <w:tcW w:type="dxa" w:w="720"/>
            <w:shd w:val="clear" w:color="auto" w:fill="FFFFFF"/>
          </w:tcPr>
          <w:p>
            <w:r>
              <w:rPr>
                <w:color w:val="1A1A2E"/>
                <w:sz w:val="15"/>
              </w:rPr>
              <w:t>2024-25</w:t>
            </w:r>
          </w:p>
        </w:tc>
        <w:tc>
          <w:tcPr>
            <w:tcW w:type="dxa" w:w="3168"/>
            <w:shd w:val="clear" w:color="auto" w:fill="FFFFFF"/>
          </w:tcPr>
          <w:p>
            <w:r>
              <w:rPr>
                <w:color w:val="1A1A2E"/>
                <w:sz w:val="15"/>
              </w:rPr>
              <w:t>1. First survey of LLM-CD integration across 3 dimensions: extraction, knowledge injection, structure refinement. 2. LLM-Modulo (external causal engine + LLM for language) is the safest architecture.</w:t>
            </w:r>
          </w:p>
        </w:tc>
        <w:tc>
          <w:tcPr>
            <w:tcW w:type="dxa" w:w="2880"/>
            <w:shd w:val="clear" w:color="auto" w:fill="FFFFFF"/>
          </w:tcPr>
          <w:p>
            <w:r>
              <w:rPr>
                <w:color w:val="1A1A2E"/>
                <w:sz w:val="15"/>
              </w:rPr>
              <w:t>1. Survey only — no new method or system. 2. Business KPI causal discovery (promotions, seasonality) not addressed.</w:t>
            </w:r>
          </w:p>
        </w:tc>
      </w:tr>
      <w:tr>
        <w:tc>
          <w:tcPr>
            <w:tcW w:type="dxa" w:w="504"/>
            <w:shd w:val="clear" w:color="auto" w:fill="EEF4FF"/>
          </w:tcPr>
          <w:p>
            <w:r>
              <w:rPr>
                <w:color w:val="1A1A2E"/>
                <w:sz w:val="15"/>
              </w:rPr>
              <w:t>11</w:t>
            </w:r>
          </w:p>
        </w:tc>
        <w:tc>
          <w:tcPr>
            <w:tcW w:type="dxa" w:w="2160"/>
            <w:shd w:val="clear" w:color="auto" w:fill="EEF4FF"/>
          </w:tcPr>
          <w:p>
            <w:r>
              <w:rPr>
                <w:color w:val="1A1A2E"/>
                <w:sz w:val="15"/>
              </w:rPr>
              <w:t>CausalPulse (Bosch deployment)</w:t>
            </w:r>
          </w:p>
        </w:tc>
        <w:tc>
          <w:tcPr>
            <w:tcW w:type="dxa" w:w="1584"/>
            <w:shd w:val="clear" w:color="auto" w:fill="EEF4FF"/>
          </w:tcPr>
          <w:p>
            <w:r>
              <w:rPr>
                <w:color w:val="1A1A2E"/>
                <w:sz w:val="15"/>
              </w:rPr>
              <w:t>Shyalika et al. (USC/Bosch)</w:t>
            </w:r>
          </w:p>
        </w:tc>
        <w:tc>
          <w:tcPr>
            <w:tcW w:type="dxa" w:w="720"/>
            <w:shd w:val="clear" w:color="auto" w:fill="EEF4FF"/>
          </w:tcPr>
          <w:p>
            <w:r>
              <w:rPr>
                <w:color w:val="1A1A2E"/>
                <w:sz w:val="15"/>
              </w:rPr>
              <w:t>2026</w:t>
            </w:r>
          </w:p>
        </w:tc>
        <w:tc>
          <w:tcPr>
            <w:tcW w:type="dxa" w:w="3168"/>
            <w:shd w:val="clear" w:color="auto" w:fill="EEF4FF"/>
          </w:tcPr>
          <w:p>
            <w:r>
              <w:rPr>
                <w:color w:val="1A1A2E"/>
                <w:sz w:val="15"/>
              </w:rPr>
              <w:t>1. Neurosymbolic multi-agent copilot unifying anomaly detection, causal discovery, reasoning via MCP; deployed at Bosch manufacturing. 2. 98%+ success rates; 50–60s latency; near-linear scalability.</w:t>
            </w:r>
          </w:p>
        </w:tc>
        <w:tc>
          <w:tcPr>
            <w:tcW w:type="dxa" w:w="2880"/>
            <w:shd w:val="clear" w:color="auto" w:fill="EEF4FF"/>
          </w:tcPr>
          <w:p>
            <w:r>
              <w:rPr>
                <w:color w:val="1A1A2E"/>
                <w:sz w:val="15"/>
              </w:rPr>
              <w:t>1. Smart manufacturing only — physical sensor data, not business KPIs. 2. Human-in-the-loop checkpoints unsuitable for rapid business alerting.</w:t>
            </w:r>
          </w:p>
        </w:tc>
      </w:tr>
      <w:tr>
        <w:tc>
          <w:tcPr>
            <w:tcW w:type="dxa" w:w="504"/>
            <w:shd w:val="clear" w:color="auto" w:fill="FFFFFF"/>
          </w:tcPr>
          <w:p>
            <w:r>
              <w:rPr>
                <w:color w:val="1A1A2E"/>
                <w:sz w:val="15"/>
              </w:rPr>
              <w:t>12</w:t>
            </w:r>
          </w:p>
        </w:tc>
        <w:tc>
          <w:tcPr>
            <w:tcW w:type="dxa" w:w="2160"/>
            <w:shd w:val="clear" w:color="auto" w:fill="FFFFFF"/>
          </w:tcPr>
          <w:p>
            <w:r>
              <w:rPr>
                <w:color w:val="1A1A2E"/>
                <w:sz w:val="15"/>
              </w:rPr>
              <w:t>AgentRCA (EPFL)</w:t>
            </w:r>
          </w:p>
        </w:tc>
        <w:tc>
          <w:tcPr>
            <w:tcW w:type="dxa" w:w="1584"/>
            <w:shd w:val="clear" w:color="auto" w:fill="FFFFFF"/>
          </w:tcPr>
          <w:p>
            <w:r>
              <w:rPr>
                <w:color w:val="1A1A2E"/>
                <w:sz w:val="15"/>
              </w:rPr>
              <w:t>Wei &amp; Fink (EPFL)</w:t>
            </w:r>
          </w:p>
        </w:tc>
        <w:tc>
          <w:tcPr>
            <w:tcW w:type="dxa" w:w="720"/>
            <w:shd w:val="clear" w:color="auto" w:fill="FFFFFF"/>
          </w:tcPr>
          <w:p>
            <w:r>
              <w:rPr>
                <w:color w:val="1A1A2E"/>
                <w:sz w:val="15"/>
              </w:rPr>
              <w:t>2026</w:t>
            </w:r>
          </w:p>
        </w:tc>
        <w:tc>
          <w:tcPr>
            <w:tcW w:type="dxa" w:w="3168"/>
            <w:shd w:val="clear" w:color="auto" w:fill="FFFFFF"/>
          </w:tcPr>
          <w:p>
            <w:r>
              <w:rPr>
                <w:color w:val="1A1A2E"/>
                <w:sz w:val="15"/>
              </w:rPr>
              <w:t>1. Zero-shot agentic RCA combining digital twin with tool-augmented LLM for evidence-grounded hypothesis testing. 2. Competitive with supervised baselines without fault-labeled training data.</w:t>
            </w:r>
          </w:p>
        </w:tc>
        <w:tc>
          <w:tcPr>
            <w:tcW w:type="dxa" w:w="2880"/>
            <w:shd w:val="clear" w:color="auto" w:fill="FFFFFF"/>
          </w:tcPr>
          <w:p>
            <w:r>
              <w:rPr>
                <w:color w:val="1A1A2E"/>
                <w:sz w:val="15"/>
              </w:rPr>
              <w:t>1. Physical industrial systems requiring pre-built digital twin. 2. Cannot be applied to business KPI monitoring.</w:t>
            </w:r>
          </w:p>
        </w:tc>
      </w:tr>
      <w:tr>
        <w:tc>
          <w:tcPr>
            <w:tcW w:type="dxa" w:w="504"/>
            <w:shd w:val="clear" w:color="auto" w:fill="EEF4FF"/>
          </w:tcPr>
          <w:p>
            <w:r>
              <w:rPr>
                <w:color w:val="1A1A2E"/>
                <w:sz w:val="15"/>
              </w:rPr>
              <w:t>13</w:t>
            </w:r>
          </w:p>
        </w:tc>
        <w:tc>
          <w:tcPr>
            <w:tcW w:type="dxa" w:w="2160"/>
            <w:shd w:val="clear" w:color="auto" w:fill="EEF4FF"/>
          </w:tcPr>
          <w:p>
            <w:r>
              <w:rPr>
                <w:color w:val="1A1A2E"/>
                <w:sz w:val="15"/>
              </w:rPr>
              <w:t>ASoT — Agentic Streams of Thought</w:t>
            </w:r>
          </w:p>
        </w:tc>
        <w:tc>
          <w:tcPr>
            <w:tcW w:type="dxa" w:w="1584"/>
            <w:shd w:val="clear" w:color="auto" w:fill="EEF4FF"/>
          </w:tcPr>
          <w:p>
            <w:r>
              <w:rPr>
                <w:color w:val="1A1A2E"/>
                <w:sz w:val="15"/>
              </w:rPr>
              <w:t>Meier et al. (FAU Erlangen)</w:t>
            </w:r>
          </w:p>
        </w:tc>
        <w:tc>
          <w:tcPr>
            <w:tcW w:type="dxa" w:w="720"/>
            <w:shd w:val="clear" w:color="auto" w:fill="EEF4FF"/>
          </w:tcPr>
          <w:p>
            <w:r>
              <w:rPr>
                <w:color w:val="1A1A2E"/>
                <w:sz w:val="15"/>
              </w:rPr>
              <w:t>2025</w:t>
            </w:r>
          </w:p>
        </w:tc>
        <w:tc>
          <w:tcPr>
            <w:tcW w:type="dxa" w:w="3168"/>
            <w:shd w:val="clear" w:color="auto" w:fill="EEF4FF"/>
          </w:tcPr>
          <w:p>
            <w:r>
              <w:rPr>
                <w:color w:val="1A1A2E"/>
                <w:sz w:val="15"/>
              </w:rPr>
              <w:t>1. Hierarchical multi-LLM framework for causal discovery using Delphi and ESM consensus mechanisms; matches/exceeds GPT-4o and Claude 3.5 Sonnet using small open-source models locally. 2. Direction and Transitive Processors refine causal graph structure; Quality Gates provide iterative refinement with hallucination mitigation.</w:t>
            </w:r>
          </w:p>
        </w:tc>
        <w:tc>
          <w:tcPr>
            <w:tcW w:type="dxa" w:w="2880"/>
            <w:shd w:val="clear" w:color="auto" w:fill="EEF4FF"/>
          </w:tcPr>
          <w:p>
            <w:r>
              <w:rPr>
                <w:color w:val="1A1A2E"/>
                <w:sz w:val="15"/>
              </w:rPr>
              <w:t>1. Extremely high computational cost (586–688 TFLOPs per loop vs 10⁻⁵ for PC); execution takes hours to 7 days per dataset — unsuitable for real-time monitoring. 2. Pairwise O(n²) approach; evaluated on general benchmarks (Sachs, AutoMPG) not business KPI data.</w:t>
            </w:r>
          </w:p>
        </w:tc>
      </w:tr>
      <w:tr>
        <w:tc>
          <w:tcPr>
            <w:tcW w:type="dxa" w:w="504"/>
            <w:shd w:val="clear" w:color="auto" w:fill="FFFFFF"/>
          </w:tcPr>
          <w:p>
            <w:r>
              <w:rPr>
                <w:color w:val="1A1A2E"/>
                <w:sz w:val="15"/>
              </w:rPr>
              <w:t>14</w:t>
            </w:r>
          </w:p>
        </w:tc>
        <w:tc>
          <w:tcPr>
            <w:tcW w:type="dxa" w:w="2160"/>
            <w:shd w:val="clear" w:color="auto" w:fill="FFFFFF"/>
          </w:tcPr>
          <w:p>
            <w:r>
              <w:rPr>
                <w:color w:val="1A1A2E"/>
                <w:sz w:val="15"/>
              </w:rPr>
              <w:t>MA-RCA — Multi-Agent RCA</w:t>
            </w:r>
          </w:p>
        </w:tc>
        <w:tc>
          <w:tcPr>
            <w:tcW w:type="dxa" w:w="1584"/>
            <w:shd w:val="clear" w:color="auto" w:fill="FFFFFF"/>
          </w:tcPr>
          <w:p>
            <w:r>
              <w:rPr>
                <w:color w:val="1A1A2E"/>
                <w:sz w:val="15"/>
              </w:rPr>
              <w:t>Fu et al. (NARI-TECH Nanjing)</w:t>
            </w:r>
          </w:p>
        </w:tc>
        <w:tc>
          <w:tcPr>
            <w:tcW w:type="dxa" w:w="720"/>
            <w:shd w:val="clear" w:color="auto" w:fill="FFFFFF"/>
          </w:tcPr>
          <w:p>
            <w:r>
              <w:rPr>
                <w:color w:val="1A1A2E"/>
                <w:sz w:val="15"/>
              </w:rPr>
              <w:t>2026</w:t>
            </w:r>
          </w:p>
        </w:tc>
        <w:tc>
          <w:tcPr>
            <w:tcW w:type="dxa" w:w="3168"/>
            <w:shd w:val="clear" w:color="auto" w:fill="FFFFFF"/>
          </w:tcPr>
          <w:p>
            <w:r>
              <w:rPr>
                <w:color w:val="1A1A2E"/>
                <w:sz w:val="15"/>
              </w:rPr>
              <w:t>1. Four specialised agents (RCA, Retrieval, Validation, Report) achieve 95.2% F1 on Nezha cloud benchmark and 82.8% on power metering; Retrieval Agent is the most critical component (removes it → F1 drops to 0.295). 2. Deployed in real industrial power metering diagnostic system.</w:t>
            </w:r>
          </w:p>
        </w:tc>
        <w:tc>
          <w:tcPr>
            <w:tcW w:type="dxa" w:w="2880"/>
            <w:shd w:val="clear" w:color="auto" w:fill="FFFFFF"/>
          </w:tcPr>
          <w:p>
            <w:r>
              <w:rPr>
                <w:color w:val="1A1A2E"/>
                <w:sz w:val="15"/>
              </w:rPr>
              <w:t>1. Cloud IT and power systems only — not business KPI anomalies; requires domain-specific historical case repository. 2. Multi-agent coordination introduces latency; effectiveness depends on historical case quality.</w:t>
            </w:r>
          </w:p>
        </w:tc>
      </w:tr>
      <w:tr>
        <w:tc>
          <w:tcPr>
            <w:tcW w:type="dxa" w:w="504"/>
            <w:shd w:val="clear" w:color="auto" w:fill="EEF4FF"/>
          </w:tcPr>
          <w:p>
            <w:r>
              <w:rPr>
                <w:color w:val="1A1A2E"/>
                <w:sz w:val="15"/>
              </w:rPr>
              <w:t>15</w:t>
            </w:r>
          </w:p>
        </w:tc>
        <w:tc>
          <w:tcPr>
            <w:tcW w:type="dxa" w:w="2160"/>
            <w:shd w:val="clear" w:color="auto" w:fill="EEF4FF"/>
          </w:tcPr>
          <w:p>
            <w:r>
              <w:rPr>
                <w:color w:val="1A1A2E"/>
                <w:sz w:val="15"/>
              </w:rPr>
              <w:t>Anomaly Transformer</w:t>
            </w:r>
          </w:p>
        </w:tc>
        <w:tc>
          <w:tcPr>
            <w:tcW w:type="dxa" w:w="1584"/>
            <w:shd w:val="clear" w:color="auto" w:fill="EEF4FF"/>
          </w:tcPr>
          <w:p>
            <w:r>
              <w:rPr>
                <w:color w:val="1A1A2E"/>
                <w:sz w:val="15"/>
              </w:rPr>
              <w:t>Xu et al. (Tsinghua)</w:t>
            </w:r>
          </w:p>
        </w:tc>
        <w:tc>
          <w:tcPr>
            <w:tcW w:type="dxa" w:w="720"/>
            <w:shd w:val="clear" w:color="auto" w:fill="EEF4FF"/>
          </w:tcPr>
          <w:p>
            <w:r>
              <w:rPr>
                <w:color w:val="1A1A2E"/>
                <w:sz w:val="15"/>
              </w:rPr>
              <w:t>2022</w:t>
            </w:r>
          </w:p>
        </w:tc>
        <w:tc>
          <w:tcPr>
            <w:tcW w:type="dxa" w:w="3168"/>
            <w:shd w:val="clear" w:color="auto" w:fill="EEF4FF"/>
          </w:tcPr>
          <w:p>
            <w:r>
              <w:rPr>
                <w:color w:val="1A1A2E"/>
                <w:sz w:val="15"/>
              </w:rPr>
              <w:t>1. Association Discrepancy: anomalous points concentrate on adjacent associations only; normal points build global associations — unsupervised SOTA on 6 benchmarks without labels. 2. Dual-branch Anomaly-Attention + minimax training amplifies normal-anomaly discriminability.</w:t>
            </w:r>
          </w:p>
        </w:tc>
        <w:tc>
          <w:tcPr>
            <w:tcW w:type="dxa" w:w="2880"/>
            <w:shd w:val="clear" w:color="auto" w:fill="EEF4FF"/>
          </w:tcPr>
          <w:p>
            <w:r>
              <w:rPr>
                <w:color w:val="1A1A2E"/>
                <w:sz w:val="15"/>
              </w:rPr>
              <w:t>1. Evaluated on industrial/sensor datasets only — never tested on business KPI time series (revenue, churn, conversion rate). 2. Detects anomaly existence only — no explanation of root cause; standalone algorithm with no pipeline integration.</w:t>
            </w:r>
          </w:p>
        </w:tc>
      </w:tr>
      <w:tr>
        <w:tc>
          <w:tcPr>
            <w:tcW w:type="dxa" w:w="504"/>
            <w:shd w:val="clear" w:color="auto" w:fill="FFFFFF"/>
          </w:tcPr>
          <w:p>
            <w:r>
              <w:rPr>
                <w:color w:val="1A1A2E"/>
                <w:sz w:val="15"/>
              </w:rPr>
              <w:t>16</w:t>
            </w:r>
          </w:p>
        </w:tc>
        <w:tc>
          <w:tcPr>
            <w:tcW w:type="dxa" w:w="2160"/>
            <w:shd w:val="clear" w:color="auto" w:fill="FFFFFF"/>
          </w:tcPr>
          <w:p>
            <w:r>
              <w:rPr>
                <w:color w:val="1A1A2E"/>
                <w:sz w:val="15"/>
              </w:rPr>
              <w:t>AIDA (Alibaba Taobao)</w:t>
            </w:r>
          </w:p>
        </w:tc>
        <w:tc>
          <w:tcPr>
            <w:tcW w:type="dxa" w:w="1584"/>
            <w:shd w:val="clear" w:color="auto" w:fill="FFFFFF"/>
          </w:tcPr>
          <w:p>
            <w:r>
              <w:rPr>
                <w:color w:val="1A1A2E"/>
                <w:sz w:val="15"/>
              </w:rPr>
              <w:t>Wu et al. (Alibaba)</w:t>
            </w:r>
          </w:p>
        </w:tc>
        <w:tc>
          <w:tcPr>
            <w:tcW w:type="dxa" w:w="720"/>
            <w:shd w:val="clear" w:color="auto" w:fill="FFFFFF"/>
          </w:tcPr>
          <w:p>
            <w:r>
              <w:rPr>
                <w:color w:val="1A1A2E"/>
                <w:sz w:val="15"/>
              </w:rPr>
              <w:t>2026</w:t>
            </w:r>
          </w:p>
        </w:tc>
        <w:tc>
          <w:tcPr>
            <w:tcW w:type="dxa" w:w="3168"/>
            <w:shd w:val="clear" w:color="auto" w:fill="FFFFFF"/>
          </w:tcPr>
          <w:p>
            <w:r>
              <w:rPr>
                <w:color w:val="1A1A2E"/>
                <w:sz w:val="15"/>
              </w:rPr>
              <w:t>1. First end-to-end autonomous BI agent using MDP state quintuple with Refuted insight status; 8B RL model outperforms 32B baseline after 15 steps; 70% fewer hallucinations. 2. Pareto-guided RL with reward decomposition and dual masking prevents reward hacking in long-horizon analysis.</w:t>
            </w:r>
          </w:p>
        </w:tc>
        <w:tc>
          <w:tcPr>
            <w:tcW w:type="dxa" w:w="2880"/>
            <w:shd w:val="clear" w:color="auto" w:fill="FFFFFF"/>
          </w:tcPr>
          <w:p>
            <w:r>
              <w:rPr>
                <w:color w:val="1A1A2E"/>
                <w:sz w:val="15"/>
              </w:rPr>
              <w:t>1. Fully reactive — requires human question to start; no autonomous anomaly detection or proactive alerting. 2. Single proprietary retail domain with manually engineered DSL; zero causal reasoning — finds correlations, not root causes.</w:t>
            </w:r>
          </w:p>
        </w:tc>
      </w:tr>
    </w:tbl>
    <w:p/>
    <w:p>
      <w:pPr>
        <w:spacing w:before="400" w:after="0"/>
        <w:jc w:val="center"/>
      </w:pPr>
      <w:r>
        <w:rPr>
          <w:i/>
          <w:color w:val="666666"/>
          <w:sz w:val="18"/>
        </w:rPr>
        <w:t>KAIROS Complete Literature Review  ·  18 Papers  ·  Woxsen University  ·  August 2026</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