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692ED" w14:textId="77777777" w:rsidR="000222BB" w:rsidRDefault="00BA1370">
      <w:pPr>
        <w:spacing w:after="200"/>
        <w:jc w:val="center"/>
      </w:pPr>
      <w:r>
        <w:rPr>
          <w:sz w:val="44"/>
          <w:szCs w:val="44"/>
        </w:rPr>
        <w:t>KAIROS: Proactive Causal Root-Cause Analysis of Business Metrics with DYNOTEARS and Verified LLM Reporting</w:t>
      </w:r>
    </w:p>
    <w:tbl>
      <w:tblPr>
        <w:tblW w:w="10440" w:type="dxa"/>
        <w:jc w:val="center"/>
        <w:tblLook w:val="04A0" w:firstRow="1" w:lastRow="0" w:firstColumn="1" w:lastColumn="0" w:noHBand="0" w:noVBand="1"/>
      </w:tblPr>
      <w:tblGrid>
        <w:gridCol w:w="2610"/>
        <w:gridCol w:w="2610"/>
        <w:gridCol w:w="2610"/>
        <w:gridCol w:w="2610"/>
      </w:tblGrid>
      <w:tr w:rsidR="000222BB" w14:paraId="051BFFA3" w14:textId="77777777">
        <w:trPr>
          <w:jc w:val="center"/>
        </w:trPr>
        <w:tc>
          <w:tcPr>
            <w:tcW w:w="2610" w:type="dxa"/>
            <w:tcBorders>
              <w:top w:val="none" w:sz="0" w:space="0" w:color="FFFFFF"/>
              <w:left w:val="none" w:sz="0" w:space="0" w:color="FFFFFF"/>
              <w:bottom w:val="none" w:sz="0" w:space="0" w:color="FFFFFF"/>
              <w:right w:val="none" w:sz="0" w:space="0" w:color="FFFFFF"/>
            </w:tcBorders>
          </w:tcPr>
          <w:p w14:paraId="307F8F80" w14:textId="77777777" w:rsidR="000222BB" w:rsidRDefault="00BA1370">
            <w:pPr>
              <w:jc w:val="center"/>
            </w:pPr>
            <w:r>
              <w:rPr>
                <w:sz w:val="22"/>
                <w:szCs w:val="22"/>
              </w:rPr>
              <w:t>Palla Chetana Reddy</w:t>
            </w:r>
          </w:p>
          <w:p w14:paraId="28B0EF94" w14:textId="77777777" w:rsidR="000222BB" w:rsidRDefault="00BA1370">
            <w:pPr>
              <w:jc w:val="center"/>
            </w:pPr>
            <w:r>
              <w:rPr>
                <w:i/>
                <w:iCs/>
                <w:sz w:val="18"/>
                <w:szCs w:val="18"/>
              </w:rPr>
              <w:t>School of Technology</w:t>
            </w:r>
          </w:p>
          <w:p w14:paraId="26E3BE95" w14:textId="77777777" w:rsidR="000222BB" w:rsidRDefault="00BA1370">
            <w:pPr>
              <w:jc w:val="center"/>
            </w:pPr>
            <w:r>
              <w:rPr>
                <w:i/>
                <w:iCs/>
                <w:sz w:val="18"/>
                <w:szCs w:val="18"/>
              </w:rPr>
              <w:t>Woxsen University</w:t>
            </w:r>
          </w:p>
          <w:p w14:paraId="0A132E5A" w14:textId="77777777" w:rsidR="000222BB" w:rsidRDefault="00BA1370">
            <w:pPr>
              <w:jc w:val="center"/>
            </w:pPr>
            <w:r>
              <w:rPr>
                <w:sz w:val="18"/>
                <w:szCs w:val="18"/>
              </w:rPr>
              <w:t>Hyderabad, India</w:t>
            </w:r>
          </w:p>
        </w:tc>
        <w:tc>
          <w:tcPr>
            <w:tcW w:w="2610" w:type="dxa"/>
            <w:tcBorders>
              <w:top w:val="none" w:sz="0" w:space="0" w:color="FFFFFF"/>
              <w:left w:val="none" w:sz="0" w:space="0" w:color="FFFFFF"/>
              <w:bottom w:val="none" w:sz="0" w:space="0" w:color="FFFFFF"/>
              <w:right w:val="none" w:sz="0" w:space="0" w:color="FFFFFF"/>
            </w:tcBorders>
          </w:tcPr>
          <w:p w14:paraId="1CE5EC78" w14:textId="77777777" w:rsidR="000222BB" w:rsidRDefault="00BA1370">
            <w:pPr>
              <w:jc w:val="center"/>
            </w:pPr>
            <w:r>
              <w:rPr>
                <w:sz w:val="22"/>
                <w:szCs w:val="22"/>
              </w:rPr>
              <w:t>Varshini Yadav Nasaram</w:t>
            </w:r>
          </w:p>
          <w:p w14:paraId="3BAD6CCB" w14:textId="77777777" w:rsidR="000222BB" w:rsidRDefault="00BA1370">
            <w:pPr>
              <w:jc w:val="center"/>
            </w:pPr>
            <w:r>
              <w:rPr>
                <w:i/>
                <w:iCs/>
                <w:sz w:val="18"/>
                <w:szCs w:val="18"/>
              </w:rPr>
              <w:t>School of Technology</w:t>
            </w:r>
          </w:p>
          <w:p w14:paraId="0733803D" w14:textId="77777777" w:rsidR="000222BB" w:rsidRDefault="00BA1370">
            <w:pPr>
              <w:jc w:val="center"/>
            </w:pPr>
            <w:r>
              <w:rPr>
                <w:i/>
                <w:iCs/>
                <w:sz w:val="18"/>
                <w:szCs w:val="18"/>
              </w:rPr>
              <w:t>Woxsen University</w:t>
            </w:r>
          </w:p>
          <w:p w14:paraId="5DCB6B7E" w14:textId="77777777" w:rsidR="000222BB" w:rsidRDefault="00BA1370">
            <w:pPr>
              <w:jc w:val="center"/>
            </w:pPr>
            <w:r>
              <w:rPr>
                <w:sz w:val="18"/>
                <w:szCs w:val="18"/>
              </w:rPr>
              <w:t>Hyderabad, India</w:t>
            </w:r>
          </w:p>
        </w:tc>
        <w:tc>
          <w:tcPr>
            <w:tcW w:w="2610" w:type="dxa"/>
            <w:tcBorders>
              <w:top w:val="none" w:sz="0" w:space="0" w:color="FFFFFF"/>
              <w:left w:val="none" w:sz="0" w:space="0" w:color="FFFFFF"/>
              <w:bottom w:val="none" w:sz="0" w:space="0" w:color="FFFFFF"/>
              <w:right w:val="none" w:sz="0" w:space="0" w:color="FFFFFF"/>
            </w:tcBorders>
          </w:tcPr>
          <w:p w14:paraId="5FE7979D" w14:textId="77777777" w:rsidR="000222BB" w:rsidRDefault="00BA1370">
            <w:pPr>
              <w:jc w:val="center"/>
            </w:pPr>
            <w:r>
              <w:rPr>
                <w:sz w:val="22"/>
                <w:szCs w:val="22"/>
              </w:rPr>
              <w:t>Obulagari Nandini</w:t>
            </w:r>
          </w:p>
          <w:p w14:paraId="52B04FE1" w14:textId="77777777" w:rsidR="000222BB" w:rsidRDefault="00BA1370">
            <w:pPr>
              <w:jc w:val="center"/>
            </w:pPr>
            <w:r>
              <w:rPr>
                <w:i/>
                <w:iCs/>
                <w:sz w:val="18"/>
                <w:szCs w:val="18"/>
              </w:rPr>
              <w:t>School of Technology</w:t>
            </w:r>
          </w:p>
          <w:p w14:paraId="50F54F84" w14:textId="77777777" w:rsidR="000222BB" w:rsidRDefault="00BA1370">
            <w:pPr>
              <w:jc w:val="center"/>
            </w:pPr>
            <w:r>
              <w:rPr>
                <w:i/>
                <w:iCs/>
                <w:sz w:val="18"/>
                <w:szCs w:val="18"/>
              </w:rPr>
              <w:t>Woxsen University</w:t>
            </w:r>
          </w:p>
          <w:p w14:paraId="6DF8608E" w14:textId="77777777" w:rsidR="000222BB" w:rsidRDefault="00BA1370">
            <w:pPr>
              <w:jc w:val="center"/>
            </w:pPr>
            <w:r>
              <w:rPr>
                <w:sz w:val="18"/>
                <w:szCs w:val="18"/>
              </w:rPr>
              <w:t>Hyderabad, India</w:t>
            </w:r>
          </w:p>
        </w:tc>
        <w:tc>
          <w:tcPr>
            <w:tcW w:w="2610" w:type="dxa"/>
            <w:tcBorders>
              <w:top w:val="none" w:sz="0" w:space="0" w:color="FFFFFF"/>
              <w:left w:val="none" w:sz="0" w:space="0" w:color="FFFFFF"/>
              <w:bottom w:val="none" w:sz="0" w:space="0" w:color="FFFFFF"/>
              <w:right w:val="none" w:sz="0" w:space="0" w:color="FFFFFF"/>
            </w:tcBorders>
          </w:tcPr>
          <w:p w14:paraId="6C9D0D1D" w14:textId="77777777" w:rsidR="000222BB" w:rsidRDefault="00BA1370">
            <w:pPr>
              <w:jc w:val="center"/>
            </w:pPr>
            <w:r>
              <w:rPr>
                <w:sz w:val="22"/>
                <w:szCs w:val="22"/>
              </w:rPr>
              <w:t>Dr. K RajKumar</w:t>
            </w:r>
          </w:p>
          <w:p w14:paraId="600CF02B" w14:textId="77777777" w:rsidR="000222BB" w:rsidRDefault="00BA1370">
            <w:pPr>
              <w:jc w:val="center"/>
            </w:pPr>
            <w:r>
              <w:rPr>
                <w:i/>
                <w:iCs/>
                <w:sz w:val="18"/>
                <w:szCs w:val="18"/>
              </w:rPr>
              <w:t>Associate Professor, HOD</w:t>
            </w:r>
          </w:p>
          <w:p w14:paraId="6B668B58" w14:textId="77777777" w:rsidR="000222BB" w:rsidRDefault="00BA1370">
            <w:pPr>
              <w:jc w:val="center"/>
            </w:pPr>
            <w:r>
              <w:rPr>
                <w:i/>
                <w:iCs/>
                <w:sz w:val="18"/>
                <w:szCs w:val="18"/>
              </w:rPr>
              <w:t>Department of CSE and BIC</w:t>
            </w:r>
          </w:p>
          <w:p w14:paraId="57FC941F" w14:textId="77777777" w:rsidR="000222BB" w:rsidRDefault="00BA1370">
            <w:pPr>
              <w:jc w:val="center"/>
            </w:pPr>
            <w:r>
              <w:rPr>
                <w:i/>
                <w:iCs/>
                <w:sz w:val="18"/>
                <w:szCs w:val="18"/>
              </w:rPr>
              <w:t>Woxsen University</w:t>
            </w:r>
          </w:p>
          <w:p w14:paraId="0FCB4B7F" w14:textId="77777777" w:rsidR="000222BB" w:rsidRDefault="00BA1370">
            <w:pPr>
              <w:jc w:val="center"/>
            </w:pPr>
            <w:r>
              <w:rPr>
                <w:sz w:val="18"/>
                <w:szCs w:val="18"/>
              </w:rPr>
              <w:t>Hyderabad, India</w:t>
            </w:r>
          </w:p>
        </w:tc>
      </w:tr>
    </w:tbl>
    <w:p w14:paraId="1E2AC20B" w14:textId="77777777" w:rsidR="000222BB" w:rsidRDefault="000222BB">
      <w:pPr>
        <w:spacing w:after="200"/>
        <w:sectPr w:rsidR="000222BB">
          <w:pgSz w:w="12240" w:h="15840"/>
          <w:pgMar w:top="1080" w:right="900" w:bottom="1440" w:left="900" w:header="708" w:footer="708" w:gutter="0"/>
          <w:cols w:space="720"/>
          <w:docGrid w:linePitch="360"/>
        </w:sectPr>
      </w:pPr>
    </w:p>
    <w:p w14:paraId="6962F1D1" w14:textId="77777777" w:rsidR="000222BB" w:rsidRDefault="00BA1370">
      <w:pPr>
        <w:spacing w:after="80" w:line="228" w:lineRule="auto"/>
        <w:jc w:val="both"/>
      </w:pPr>
      <w:r>
        <w:rPr>
          <w:b/>
          <w:bCs/>
          <w:i/>
          <w:iCs/>
          <w:sz w:val="18"/>
          <w:szCs w:val="18"/>
        </w:rPr>
        <w:t>Abstract</w:t>
      </w:r>
      <w:r>
        <w:rPr>
          <w:b/>
          <w:bCs/>
          <w:sz w:val="18"/>
          <w:szCs w:val="18"/>
        </w:rPr>
        <w:t>—</w:t>
      </w:r>
      <w:r>
        <w:rPr>
          <w:b/>
          <w:bCs/>
          <w:sz w:val="18"/>
          <w:szCs w:val="18"/>
        </w:rPr>
        <w:t>Business intelligence dashboards wait for a person to ask a question, and the explanations they give for a sudden change are correlations. This paper presents KAIROS, an autonomous multi-agent system that monitors business metrics without being asked, finds the causal origin of each anomaly and reports it in plain language whose numbers have been checked. Anomalies are scored with a seasonal robust z-score; DYNOTEARS learns a lagged causal graph of the metrics, which is walked backwards from each anomaly an</w:t>
      </w:r>
      <w:r>
        <w:rPr>
          <w:b/>
          <w:bCs/>
          <w:sz w:val="18"/>
          <w:szCs w:val="18"/>
        </w:rPr>
        <w:t>d ranked by strength, bootstrap stability and timing; an LLM-Modulo verifier rejects any report whose numbers or metric names do not match the computed facts; and a low-cost ingestion layer with a chunked, parallel Fast Transfer service feeds the system from SQL, SFTP/FTP, files, REST APIs and edge agents. On a benchmark of 15 metrics with 12 known causal edges over ten seeds, DYNOTEARS reached an F1 score of 0.974, which is 8.1% higher than Granger regression, 12.2% higher than VARLiNGAM and 95.6% higher t</w:t>
      </w:r>
      <w:r>
        <w:rPr>
          <w:b/>
          <w:bCs/>
          <w:sz w:val="18"/>
          <w:szCs w:val="18"/>
        </w:rPr>
        <w:t>han correlation, with 79–91% fewer structural errors. KAIROS named both true incident origins in 100% of runs, against 70% for a top-movers dashboard heuristic and 60%, 40% and 30% when the same ranking used Granger, VARLiNGAM or correlation graphs. The verifier caught 98.5% of corrupted numbers, against 59.5% for a tolerance rule, while accepting every faithful report, and Fast Transfer moved a 106 MB export 6.1 times faster than FTP.</w:t>
      </w:r>
    </w:p>
    <w:p w14:paraId="13E3C641" w14:textId="77777777" w:rsidR="000222BB" w:rsidRDefault="00BA1370">
      <w:pPr>
        <w:spacing w:after="120" w:line="228" w:lineRule="auto"/>
        <w:jc w:val="both"/>
      </w:pPr>
      <w:r>
        <w:rPr>
          <w:b/>
          <w:bCs/>
          <w:i/>
          <w:iCs/>
          <w:sz w:val="18"/>
          <w:szCs w:val="18"/>
        </w:rPr>
        <w:t>Index Terms</w:t>
      </w:r>
      <w:r>
        <w:rPr>
          <w:b/>
          <w:bCs/>
          <w:sz w:val="18"/>
          <w:szCs w:val="18"/>
        </w:rPr>
        <w:t>—Business Intelligence, Anomaly Detection, Causal Discovery, DYNOTEARS, Root Cause Analysis, Large Language Models, LLM Verification, Multi-Agent Systems, Data Ingestion.</w:t>
      </w:r>
    </w:p>
    <w:p w14:paraId="24397199" w14:textId="77777777" w:rsidR="000222BB" w:rsidRDefault="00BA1370">
      <w:pPr>
        <w:keepNext/>
        <w:spacing w:before="160" w:after="80"/>
        <w:jc w:val="center"/>
      </w:pPr>
      <w:r>
        <w:rPr>
          <w:smallCaps/>
        </w:rPr>
        <w:t>I. Introduction</w:t>
      </w:r>
    </w:p>
    <w:p w14:paraId="4AC7C715" w14:textId="77777777" w:rsidR="000222BB" w:rsidRDefault="00BA1370">
      <w:pPr>
        <w:ind w:firstLine="202"/>
        <w:jc w:val="both"/>
      </w:pPr>
      <w:r>
        <w:t>Business intelligence (BI) platforms such as Power BI and Tableau are the standard way for managers to follow revenue, orders, churn and operational metrics, and two decades of research link their use to better decisions [1]. They are, however, reactive: a problem is found only when someone opens the right dashboard and notices it. Augmented analytics adds automatic insights [2], but these rank fields by statistical association, which cannot tell a cause from its effect or from a shared driver [3]. An analy</w:t>
      </w:r>
      <w:r>
        <w:t>st who sees revenue fall must still trace by hand whether the cause was fewer visitors, a broken checkout or a paused campaign, and by the time the cause is found the loss has already grown.</w:t>
      </w:r>
    </w:p>
    <w:p w14:paraId="6D2D5BEC" w14:textId="77777777" w:rsidR="000222BB" w:rsidRDefault="00BA1370">
      <w:pPr>
        <w:ind w:firstLine="202"/>
        <w:jc w:val="both"/>
      </w:pPr>
      <w:r>
        <w:t xml:space="preserve">Three research threads make an autonomous alternative possible. Robust and forecasting-based detectors monitor seasonal series reliably [4], [5], [6]. Continuous-optimisation structure learning, NOTEARS [7] and its time-series form DYNOTEARS [8], recovers directed and lagged dependencies from observational data and has since been applied to real time </w:t>
      </w:r>
      <w:r>
        <w:t>series [9]. Large language models (LLMs) [10] turn findings into readable text but also produce fluent statements that are not supported by their input [11], [12]. No existing system joins the three for business metrics: BI tools stop at association, root-cause tools from IT operations target server telemetry [13], and LLM-based analysts are not checked against the data.</w:t>
      </w:r>
    </w:p>
    <w:p w14:paraId="002C7123" w14:textId="77777777" w:rsidR="000222BB" w:rsidRDefault="00BA1370">
      <w:pPr>
        <w:ind w:firstLine="202"/>
        <w:jc w:val="both"/>
      </w:pPr>
      <w:r>
        <w:t>This paper combines these threads into KAIROS and makes four contributions:</w:t>
      </w:r>
    </w:p>
    <w:p w14:paraId="43FCFDB1" w14:textId="77777777" w:rsidR="000222BB" w:rsidRDefault="00BA1370">
      <w:pPr>
        <w:pStyle w:val="ListParagraph"/>
        <w:numPr>
          <w:ilvl w:val="0"/>
          <w:numId w:val="2"/>
        </w:numPr>
        <w:jc w:val="both"/>
      </w:pPr>
      <w:r>
        <w:t>a five-agent pipeline that runs on a schedule, stores every anomaly and alerts only on first sightings, so monitoring needs no human trigger;</w:t>
      </w:r>
    </w:p>
    <w:p w14:paraId="5B9D4F0F" w14:textId="77777777" w:rsidR="000222BB" w:rsidRDefault="00BA1370">
      <w:pPr>
        <w:pStyle w:val="ListParagraph"/>
        <w:numPr>
          <w:ilvl w:val="0"/>
          <w:numId w:val="2"/>
        </w:numPr>
        <w:jc w:val="both"/>
      </w:pPr>
      <w:r>
        <w:t>a root-cause procedure on top of a DYNOTEARS graph of business metrics that ranks causal chains by edge strength, bootstrap stability and anomaly timing, and names the origin of an incident;</w:t>
      </w:r>
    </w:p>
    <w:p w14:paraId="3CEEDFEC" w14:textId="77777777" w:rsidR="000222BB" w:rsidRDefault="00BA1370">
      <w:pPr>
        <w:pStyle w:val="ListParagraph"/>
        <w:numPr>
          <w:ilvl w:val="0"/>
          <w:numId w:val="2"/>
        </w:numPr>
        <w:jc w:val="both"/>
      </w:pPr>
      <w:r>
        <w:t>a deterministic verifier, following the LLM-Modulo principle of sound external critics [14], that checks every number at the precision written and every metric name before a report is delivered;</w:t>
      </w:r>
    </w:p>
    <w:p w14:paraId="331122AC" w14:textId="77777777" w:rsidR="000222BB" w:rsidRDefault="00BA1370">
      <w:pPr>
        <w:pStyle w:val="ListParagraph"/>
        <w:numPr>
          <w:ilvl w:val="0"/>
          <w:numId w:val="2"/>
        </w:numPr>
        <w:jc w:val="both"/>
      </w:pPr>
      <w:r>
        <w:t>a low-cost ingestion layer of five protocol adapters and a resumable, parallel Fast Transfer service, delivered with a working web dashboard.</w:t>
      </w:r>
    </w:p>
    <w:p w14:paraId="336BF455" w14:textId="77777777" w:rsidR="000222BB" w:rsidRDefault="00BA1370">
      <w:pPr>
        <w:ind w:firstLine="202"/>
        <w:jc w:val="both"/>
      </w:pPr>
      <w:r>
        <w:t>Against six baselines on a benchmark with known ground truth, KAIROS gives the most accurate causal graph, the only perfect origin localisation and a verifier that misses 96% fewer corrupted numbers than a tolerance rule. Section II reviews related work, Section III compares KAIROS with existing systems, Sections IV and V describe the system and its methods, Sections VI and VII report the evaluation, and Sections VIII to X discuss the results, future scope and conclusions.</w:t>
      </w:r>
    </w:p>
    <w:p w14:paraId="4F891E2B" w14:textId="77777777" w:rsidR="000222BB" w:rsidRDefault="00BA1370">
      <w:pPr>
        <w:keepNext/>
        <w:spacing w:before="160" w:after="80"/>
        <w:jc w:val="center"/>
      </w:pPr>
      <w:r>
        <w:rPr>
          <w:smallCaps/>
        </w:rPr>
        <w:t>II. Related Work</w:t>
      </w:r>
    </w:p>
    <w:p w14:paraId="5A5747CA" w14:textId="77777777" w:rsidR="000222BB" w:rsidRDefault="00BA1370">
      <w:pPr>
        <w:ind w:firstLine="202"/>
        <w:jc w:val="both"/>
      </w:pPr>
      <w:r>
        <w:rPr>
          <w:b/>
          <w:bCs/>
        </w:rPr>
        <w:t>Anomaly detection.</w:t>
      </w:r>
      <w:r>
        <w:t xml:space="preserve"> Recent surveys group time-series detectors into statistical, forecasting-based and learned families [6], [15]. Prophet [4] models trend and seasonality and flags points outside its forecast band, and robust statistics such as the median absolute deviation give scale estimates that the outliers themselves do not inflate [5]. Deep detectors, reviewed by Pang et al. [16] and Zamanzadeh Darban et al. [17], perform well on public benchmarks but need training for each dataset and give no causal explanation.</w:t>
      </w:r>
    </w:p>
    <w:p w14:paraId="6169E700" w14:textId="77777777" w:rsidR="000222BB" w:rsidRDefault="00BA1370">
      <w:pPr>
        <w:ind w:firstLine="202"/>
        <w:jc w:val="both"/>
      </w:pPr>
      <w:r>
        <w:rPr>
          <w:b/>
          <w:bCs/>
        </w:rPr>
        <w:lastRenderedPageBreak/>
        <w:t>Causal discovery.</w:t>
      </w:r>
      <w:r>
        <w:t xml:space="preserve"> Reviews by Glymour et al. [18], Vowels et al. [19], Zanga et al. [20] and Nogueira et al. [21] cover constraint-based, score-based, functional and continuous-optimisation methods. For time series, Granger causality [22] tests whether past values of one series improve the prediction of another, VARLiNGAM [23] identifies a structural vector autoregression, PCMCI [24] uses conditional-independence tests with lagged conditioning sets [25] and TCDF [26] uses attention in convolutional networks. DYNOTEARS [8] le</w:t>
      </w:r>
      <w:r>
        <w:t>arns same-step and lagged weights jointly under a smooth acyclicity constraint; its behaviour on real data has been studied in recent journal work [9], [27]. Surveys of temporal causal discovery [28], [29], [30], [31] compare these families, causal-learn [32] implements many of them, and DoWhy-GCM [33] estimates effects once a graph is known.</w:t>
      </w:r>
    </w:p>
    <w:p w14:paraId="36CFC3F1" w14:textId="77777777" w:rsidR="000222BB" w:rsidRDefault="00BA1370">
      <w:pPr>
        <w:ind w:firstLine="202"/>
        <w:jc w:val="both"/>
      </w:pPr>
      <w:r>
        <w:rPr>
          <w:b/>
          <w:bCs/>
        </w:rPr>
        <w:t>Root-cause analysis.</w:t>
      </w:r>
      <w:r>
        <w:t xml:space="preserve"> HotSpot [34] localises a change in an additive KPI to the dimension values, such as a region or a browser, that explain it; it answers </w:t>
      </w:r>
      <w:r>
        <w:rPr>
          <w:i/>
          <w:iCs/>
        </w:rPr>
        <w:t>where</w:t>
      </w:r>
      <w:r>
        <w:t xml:space="preserve"> a total changed, not </w:t>
      </w:r>
      <w:r>
        <w:rPr>
          <w:i/>
          <w:iCs/>
        </w:rPr>
        <w:t>which other metric</w:t>
      </w:r>
      <w:r>
        <w:t xml:space="preserve"> caused it. In IT operations, the survey by Soldani and Brogi [13] reviews dozens of methods. CauseInfer [35] builds a hierarchical causality graph of cloud services, CausalRCA [36] learns weighted causal graphs from microservice metrics, Żurkowski and Zieliński [37] localise faults in cloud-native applications and DGERCL [38] uses dynamic graph embeddings. All of them target infrastructure </w:t>
      </w:r>
      <w:r>
        <w:t>telemetry and engineers rather than business KPIs and managers.</w:t>
      </w:r>
    </w:p>
    <w:p w14:paraId="5B9CBF54" w14:textId="77777777" w:rsidR="000222BB" w:rsidRDefault="00BA1370">
      <w:pPr>
        <w:ind w:firstLine="202"/>
        <w:jc w:val="both"/>
      </w:pPr>
      <w:r>
        <w:rPr>
          <w:b/>
          <w:bCs/>
        </w:rPr>
        <w:t>LLMs for analysis and their verification.</w:t>
      </w:r>
      <w:r>
        <w:t xml:space="preserve"> LLMs are now used as software and data assistants [39], for example to translate business questions into SQL [40], [41], and Kıcıman et al. [42] study their causal reasoning. Because LLMs hallucinate [11], [12], detection methods such as semantic entropy [43] and fact-checking pipelines [44] have been proposed. These estimate the reliability of an answer statistically, whereas Kambhampati [14] argues that LLM output should be checked by sound external critics, the principle that KAIROS applies to numbers.</w:t>
      </w:r>
    </w:p>
    <w:p w14:paraId="2764DDFF" w14:textId="77777777" w:rsidR="000222BB" w:rsidRDefault="00BA1370">
      <w:pPr>
        <w:ind w:firstLine="202"/>
        <w:jc w:val="both"/>
      </w:pPr>
      <w:r>
        <w:rPr>
          <w:b/>
          <w:bCs/>
        </w:rPr>
        <w:t>Agents and data movement.</w:t>
      </w:r>
      <w:r>
        <w:t xml:space="preserve"> Surveys of LLM-based agents [45], [46] describe how planning, memory and tools are combined into multi-step agents, which KAIROS runs as a state machine. For data movement, edge computing moves computation next to the data [47], and parallel streams with tuned concurrency are the established way to accelerate large transfers over wide-area links [48].</w:t>
      </w:r>
    </w:p>
    <w:p w14:paraId="63A5495D" w14:textId="77777777" w:rsidR="000222BB" w:rsidRDefault="00BA1370">
      <w:pPr>
        <w:keepNext/>
        <w:spacing w:before="160" w:after="80"/>
        <w:jc w:val="center"/>
      </w:pPr>
      <w:r>
        <w:rPr>
          <w:smallCaps/>
        </w:rPr>
        <w:t>III. Comparison with Existing Work</w:t>
      </w:r>
    </w:p>
    <w:p w14:paraId="56FC6ACC" w14:textId="77777777" w:rsidR="000222BB" w:rsidRDefault="00BA1370">
      <w:pPr>
        <w:ind w:firstLine="202"/>
        <w:jc w:val="both"/>
        <w:sectPr w:rsidR="000222BB">
          <w:type w:val="continuous"/>
          <w:pgSz w:w="12240" w:h="15840"/>
          <w:pgMar w:top="1080" w:right="900" w:bottom="1440" w:left="900" w:header="708" w:footer="708" w:gutter="0"/>
          <w:cols w:num="2" w:space="360"/>
          <w:docGrid w:linePitch="360"/>
        </w:sectPr>
      </w:pPr>
      <w:r>
        <w:t>Table I compares KAIROS with representative tools and research systems on six properties that a business user needs. A tick means that the property is a design goal of the published system, a half circle means partial support and a dash means not applicable.</w:t>
      </w:r>
    </w:p>
    <w:p w14:paraId="2C99F12C" w14:textId="77777777" w:rsidR="000222BB" w:rsidRDefault="00BA1370">
      <w:pPr>
        <w:keepNext/>
        <w:spacing w:before="120"/>
        <w:jc w:val="center"/>
      </w:pPr>
      <w:r>
        <w:rPr>
          <w:sz w:val="16"/>
          <w:szCs w:val="16"/>
        </w:rPr>
        <w:t>TABLE I</w:t>
      </w:r>
    </w:p>
    <w:p w14:paraId="28C5EF64" w14:textId="77777777" w:rsidR="000222BB" w:rsidRDefault="00BA1370">
      <w:pPr>
        <w:keepNext/>
        <w:spacing w:after="60"/>
        <w:jc w:val="center"/>
      </w:pPr>
      <w:r>
        <w:rPr>
          <w:smallCaps/>
          <w:sz w:val="16"/>
          <w:szCs w:val="16"/>
        </w:rPr>
        <w:t>Comparison of KAIROS with existing BI tools and root-cause analysis systems</w:t>
      </w:r>
    </w:p>
    <w:tbl>
      <w:tblPr>
        <w:tblW w:w="10440" w:type="dxa"/>
        <w:jc w:val="center"/>
        <w:tblLook w:val="04A0" w:firstRow="1" w:lastRow="0" w:firstColumn="1" w:lastColumn="0" w:noHBand="0" w:noVBand="1"/>
      </w:tblPr>
      <w:tblGrid>
        <w:gridCol w:w="2733"/>
        <w:gridCol w:w="1530"/>
        <w:gridCol w:w="1039"/>
        <w:gridCol w:w="1039"/>
        <w:gridCol w:w="929"/>
        <w:gridCol w:w="929"/>
        <w:gridCol w:w="1039"/>
        <w:gridCol w:w="1202"/>
      </w:tblGrid>
      <w:tr w:rsidR="000222BB" w14:paraId="578B96C5" w14:textId="77777777">
        <w:trPr>
          <w:cantSplit/>
          <w:tblHeader/>
          <w:jc w:val="center"/>
        </w:trPr>
        <w:tc>
          <w:tcPr>
            <w:tcW w:w="2733"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4C7D90F7" w14:textId="77777777" w:rsidR="000222BB" w:rsidRDefault="00BA1370">
            <w:pPr>
              <w:keepNext/>
              <w:spacing w:line="220" w:lineRule="auto"/>
            </w:pPr>
            <w:r>
              <w:rPr>
                <w:b/>
                <w:bCs/>
                <w:sz w:val="15"/>
                <w:szCs w:val="15"/>
              </w:rPr>
              <w:t>System</w:t>
            </w:r>
          </w:p>
        </w:tc>
        <w:tc>
          <w:tcPr>
            <w:tcW w:w="153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082F3212" w14:textId="77777777" w:rsidR="000222BB" w:rsidRDefault="00BA1370">
            <w:pPr>
              <w:keepNext/>
              <w:spacing w:line="220" w:lineRule="auto"/>
              <w:jc w:val="center"/>
            </w:pPr>
            <w:r>
              <w:rPr>
                <w:b/>
                <w:bCs/>
                <w:sz w:val="15"/>
                <w:szCs w:val="15"/>
              </w:rPr>
              <w:t>Domain</w:t>
            </w:r>
          </w:p>
        </w:tc>
        <w:tc>
          <w:tcPr>
            <w:tcW w:w="1039"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15A083F4" w14:textId="77777777" w:rsidR="000222BB" w:rsidRDefault="00BA1370">
            <w:pPr>
              <w:keepNext/>
              <w:spacing w:line="220" w:lineRule="auto"/>
              <w:jc w:val="center"/>
            </w:pPr>
            <w:r>
              <w:rPr>
                <w:b/>
                <w:bCs/>
                <w:sz w:val="15"/>
                <w:szCs w:val="15"/>
              </w:rPr>
              <w:t>Runs unprompted</w:t>
            </w:r>
          </w:p>
        </w:tc>
        <w:tc>
          <w:tcPr>
            <w:tcW w:w="1039"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49F2EFF2" w14:textId="77777777" w:rsidR="000222BB" w:rsidRDefault="00BA1370">
            <w:pPr>
              <w:keepNext/>
              <w:spacing w:line="220" w:lineRule="auto"/>
              <w:jc w:val="center"/>
            </w:pPr>
            <w:r>
              <w:rPr>
                <w:b/>
                <w:bCs/>
                <w:sz w:val="15"/>
                <w:szCs w:val="15"/>
              </w:rPr>
              <w:t>Directed causal graph</w:t>
            </w:r>
          </w:p>
        </w:tc>
        <w:tc>
          <w:tcPr>
            <w:tcW w:w="929"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07EBFB9F" w14:textId="77777777" w:rsidR="000222BB" w:rsidRDefault="00BA1370">
            <w:pPr>
              <w:keepNext/>
              <w:spacing w:line="220" w:lineRule="auto"/>
              <w:jc w:val="center"/>
            </w:pPr>
            <w:r>
              <w:rPr>
                <w:b/>
                <w:bCs/>
                <w:sz w:val="15"/>
                <w:szCs w:val="15"/>
              </w:rPr>
              <w:t>Lagged effects</w:t>
            </w:r>
          </w:p>
        </w:tc>
        <w:tc>
          <w:tcPr>
            <w:tcW w:w="929"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0320BB09" w14:textId="77777777" w:rsidR="000222BB" w:rsidRDefault="00BA1370">
            <w:pPr>
              <w:keepNext/>
              <w:spacing w:line="220" w:lineRule="auto"/>
              <w:jc w:val="center"/>
            </w:pPr>
            <w:r>
              <w:rPr>
                <w:b/>
                <w:bCs/>
                <w:sz w:val="15"/>
                <w:szCs w:val="15"/>
              </w:rPr>
              <w:t>Business KPIs</w:t>
            </w:r>
          </w:p>
        </w:tc>
        <w:tc>
          <w:tcPr>
            <w:tcW w:w="1039"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19B40B8F" w14:textId="77777777" w:rsidR="000222BB" w:rsidRDefault="00BA1370">
            <w:pPr>
              <w:keepNext/>
              <w:spacing w:line="220" w:lineRule="auto"/>
              <w:jc w:val="center"/>
            </w:pPr>
            <w:r>
              <w:rPr>
                <w:b/>
                <w:bCs/>
                <w:sz w:val="15"/>
                <w:szCs w:val="15"/>
              </w:rPr>
              <w:t>Plain-language report</w:t>
            </w:r>
          </w:p>
        </w:tc>
        <w:tc>
          <w:tcPr>
            <w:tcW w:w="1202"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2B2C24C6" w14:textId="77777777" w:rsidR="000222BB" w:rsidRDefault="00BA1370">
            <w:pPr>
              <w:keepNext/>
              <w:spacing w:line="220" w:lineRule="auto"/>
              <w:jc w:val="center"/>
            </w:pPr>
            <w:r>
              <w:rPr>
                <w:b/>
                <w:bCs/>
                <w:sz w:val="15"/>
                <w:szCs w:val="15"/>
              </w:rPr>
              <w:t>Report checked against data</w:t>
            </w:r>
          </w:p>
        </w:tc>
      </w:tr>
      <w:tr w:rsidR="000222BB" w14:paraId="02746EDB" w14:textId="77777777">
        <w:trPr>
          <w:cantSplit/>
          <w:jc w:val="center"/>
        </w:trPr>
        <w:tc>
          <w:tcPr>
            <w:tcW w:w="2733"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123F16A" w14:textId="77777777" w:rsidR="000222BB" w:rsidRDefault="00BA1370">
            <w:pPr>
              <w:keepNext/>
              <w:spacing w:line="220" w:lineRule="auto"/>
            </w:pPr>
            <w:r>
              <w:rPr>
                <w:sz w:val="15"/>
                <w:szCs w:val="15"/>
              </w:rPr>
              <w:t>Power BI Key Influencers</w:t>
            </w:r>
          </w:p>
        </w:tc>
        <w:tc>
          <w:tcPr>
            <w:tcW w:w="153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AF12DEB" w14:textId="77777777" w:rsidR="000222BB" w:rsidRDefault="00BA1370">
            <w:pPr>
              <w:keepNext/>
              <w:spacing w:line="220" w:lineRule="auto"/>
              <w:jc w:val="center"/>
            </w:pPr>
            <w:r>
              <w:rPr>
                <w:sz w:val="15"/>
                <w:szCs w:val="15"/>
              </w:rPr>
              <w:t>BI tool</w:t>
            </w:r>
          </w:p>
        </w:tc>
        <w:tc>
          <w:tcPr>
            <w:tcW w:w="103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17B9C57"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103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E2974C5"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92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7718821"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92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980164E"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103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1E490A4"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12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88DC968" w14:textId="77777777" w:rsidR="000222BB" w:rsidRDefault="00BA1370">
            <w:pPr>
              <w:keepNext/>
              <w:spacing w:line="220" w:lineRule="auto"/>
              <w:jc w:val="center"/>
            </w:pPr>
            <w:r>
              <w:rPr>
                <w:rFonts w:ascii="Segoe UI Symbol" w:eastAsia="Segoe UI Symbol" w:hAnsi="Segoe UI Symbol" w:cs="Segoe UI Symbol"/>
                <w:sz w:val="15"/>
                <w:szCs w:val="15"/>
              </w:rPr>
              <w:t>—</w:t>
            </w:r>
          </w:p>
        </w:tc>
      </w:tr>
      <w:tr w:rsidR="000222BB" w14:paraId="3EB5747E" w14:textId="77777777">
        <w:trPr>
          <w:cantSplit/>
          <w:jc w:val="center"/>
        </w:trPr>
        <w:tc>
          <w:tcPr>
            <w:tcW w:w="2733"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7CD7364" w14:textId="77777777" w:rsidR="000222BB" w:rsidRDefault="00BA1370">
            <w:pPr>
              <w:keepNext/>
              <w:spacing w:line="220" w:lineRule="auto"/>
            </w:pPr>
            <w:r>
              <w:rPr>
                <w:sz w:val="15"/>
                <w:szCs w:val="15"/>
              </w:rPr>
              <w:t>Tableau Explain Data</w:t>
            </w:r>
          </w:p>
        </w:tc>
        <w:tc>
          <w:tcPr>
            <w:tcW w:w="153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FD0A723" w14:textId="77777777" w:rsidR="000222BB" w:rsidRDefault="00BA1370">
            <w:pPr>
              <w:keepNext/>
              <w:spacing w:line="220" w:lineRule="auto"/>
              <w:jc w:val="center"/>
            </w:pPr>
            <w:r>
              <w:rPr>
                <w:sz w:val="15"/>
                <w:szCs w:val="15"/>
              </w:rPr>
              <w:t>BI tool</w:t>
            </w:r>
          </w:p>
        </w:tc>
        <w:tc>
          <w:tcPr>
            <w:tcW w:w="103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2A8B218"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103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CC52E64"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92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3918CEB"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92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1D7DE00"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103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16C7C8C"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12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09F2B279" w14:textId="77777777" w:rsidR="000222BB" w:rsidRDefault="00BA1370">
            <w:pPr>
              <w:keepNext/>
              <w:spacing w:line="220" w:lineRule="auto"/>
              <w:jc w:val="center"/>
            </w:pPr>
            <w:r>
              <w:rPr>
                <w:rFonts w:ascii="Segoe UI Symbol" w:eastAsia="Segoe UI Symbol" w:hAnsi="Segoe UI Symbol" w:cs="Segoe UI Symbol"/>
                <w:sz w:val="15"/>
                <w:szCs w:val="15"/>
              </w:rPr>
              <w:t>—</w:t>
            </w:r>
          </w:p>
        </w:tc>
      </w:tr>
      <w:tr w:rsidR="000222BB" w14:paraId="71DE5E46" w14:textId="77777777">
        <w:trPr>
          <w:cantSplit/>
          <w:jc w:val="center"/>
        </w:trPr>
        <w:tc>
          <w:tcPr>
            <w:tcW w:w="2733"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242E9E0" w14:textId="77777777" w:rsidR="000222BB" w:rsidRDefault="00BA1370">
            <w:pPr>
              <w:keepNext/>
              <w:spacing w:line="220" w:lineRule="auto"/>
            </w:pPr>
            <w:r>
              <w:rPr>
                <w:sz w:val="15"/>
                <w:szCs w:val="15"/>
              </w:rPr>
              <w:t>HotSpot [34]</w:t>
            </w:r>
          </w:p>
        </w:tc>
        <w:tc>
          <w:tcPr>
            <w:tcW w:w="153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C1329FD" w14:textId="77777777" w:rsidR="000222BB" w:rsidRDefault="00BA1370">
            <w:pPr>
              <w:keepNext/>
              <w:spacing w:line="220" w:lineRule="auto"/>
              <w:jc w:val="center"/>
            </w:pPr>
            <w:r>
              <w:rPr>
                <w:sz w:val="15"/>
                <w:szCs w:val="15"/>
              </w:rPr>
              <w:t>Additive KPIs</w:t>
            </w:r>
          </w:p>
        </w:tc>
        <w:tc>
          <w:tcPr>
            <w:tcW w:w="103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63EB32A"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103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E6C2D99"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92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71E0A2B"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92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678E752"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103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74EE425"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12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893317C" w14:textId="77777777" w:rsidR="000222BB" w:rsidRDefault="00BA1370">
            <w:pPr>
              <w:keepNext/>
              <w:spacing w:line="220" w:lineRule="auto"/>
              <w:jc w:val="center"/>
            </w:pPr>
            <w:r>
              <w:rPr>
                <w:rFonts w:ascii="Segoe UI Symbol" w:eastAsia="Segoe UI Symbol" w:hAnsi="Segoe UI Symbol" w:cs="Segoe UI Symbol"/>
                <w:sz w:val="15"/>
                <w:szCs w:val="15"/>
              </w:rPr>
              <w:t>—</w:t>
            </w:r>
          </w:p>
        </w:tc>
      </w:tr>
      <w:tr w:rsidR="000222BB" w14:paraId="546D65CE" w14:textId="77777777">
        <w:trPr>
          <w:cantSplit/>
          <w:jc w:val="center"/>
        </w:trPr>
        <w:tc>
          <w:tcPr>
            <w:tcW w:w="2733"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AD3A9C6" w14:textId="77777777" w:rsidR="000222BB" w:rsidRDefault="00BA1370">
            <w:pPr>
              <w:keepNext/>
              <w:spacing w:line="220" w:lineRule="auto"/>
            </w:pPr>
            <w:r>
              <w:rPr>
                <w:sz w:val="15"/>
                <w:szCs w:val="15"/>
              </w:rPr>
              <w:t>CauseInfer [35]</w:t>
            </w:r>
          </w:p>
        </w:tc>
        <w:tc>
          <w:tcPr>
            <w:tcW w:w="153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52504FF" w14:textId="77777777" w:rsidR="000222BB" w:rsidRDefault="00BA1370">
            <w:pPr>
              <w:keepNext/>
              <w:spacing w:line="220" w:lineRule="auto"/>
              <w:jc w:val="center"/>
            </w:pPr>
            <w:r>
              <w:rPr>
                <w:sz w:val="15"/>
                <w:szCs w:val="15"/>
              </w:rPr>
              <w:t>Cloud services</w:t>
            </w:r>
          </w:p>
        </w:tc>
        <w:tc>
          <w:tcPr>
            <w:tcW w:w="103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83D6C0D"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103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0766F828"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92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44ACA4F"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92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43FFFE2"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103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6484A01"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12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E4BFE73" w14:textId="77777777" w:rsidR="000222BB" w:rsidRDefault="00BA1370">
            <w:pPr>
              <w:keepNext/>
              <w:spacing w:line="220" w:lineRule="auto"/>
              <w:jc w:val="center"/>
            </w:pPr>
            <w:r>
              <w:rPr>
                <w:rFonts w:ascii="Segoe UI Symbol" w:eastAsia="Segoe UI Symbol" w:hAnsi="Segoe UI Symbol" w:cs="Segoe UI Symbol"/>
                <w:sz w:val="15"/>
                <w:szCs w:val="15"/>
              </w:rPr>
              <w:t>—</w:t>
            </w:r>
          </w:p>
        </w:tc>
      </w:tr>
      <w:tr w:rsidR="000222BB" w14:paraId="36F8817B" w14:textId="77777777">
        <w:trPr>
          <w:cantSplit/>
          <w:jc w:val="center"/>
        </w:trPr>
        <w:tc>
          <w:tcPr>
            <w:tcW w:w="2733"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03E77C7C" w14:textId="77777777" w:rsidR="000222BB" w:rsidRDefault="00BA1370">
            <w:pPr>
              <w:keepNext/>
              <w:spacing w:line="220" w:lineRule="auto"/>
            </w:pPr>
            <w:r>
              <w:rPr>
                <w:sz w:val="15"/>
                <w:szCs w:val="15"/>
              </w:rPr>
              <w:t>CausalRCA [36]</w:t>
            </w:r>
          </w:p>
        </w:tc>
        <w:tc>
          <w:tcPr>
            <w:tcW w:w="153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29F630F" w14:textId="77777777" w:rsidR="000222BB" w:rsidRDefault="00BA1370">
            <w:pPr>
              <w:keepNext/>
              <w:spacing w:line="220" w:lineRule="auto"/>
              <w:jc w:val="center"/>
            </w:pPr>
            <w:r>
              <w:rPr>
                <w:sz w:val="15"/>
                <w:szCs w:val="15"/>
              </w:rPr>
              <w:t>Microservices</w:t>
            </w:r>
          </w:p>
        </w:tc>
        <w:tc>
          <w:tcPr>
            <w:tcW w:w="103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7A81144"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103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5AB16E0"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92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F99598E"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92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90D6FAF"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103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038250EA"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12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966C74C" w14:textId="77777777" w:rsidR="000222BB" w:rsidRDefault="00BA1370">
            <w:pPr>
              <w:keepNext/>
              <w:spacing w:line="220" w:lineRule="auto"/>
              <w:jc w:val="center"/>
            </w:pPr>
            <w:r>
              <w:rPr>
                <w:rFonts w:ascii="Segoe UI Symbol" w:eastAsia="Segoe UI Symbol" w:hAnsi="Segoe UI Symbol" w:cs="Segoe UI Symbol"/>
                <w:sz w:val="15"/>
                <w:szCs w:val="15"/>
              </w:rPr>
              <w:t>—</w:t>
            </w:r>
          </w:p>
        </w:tc>
      </w:tr>
      <w:tr w:rsidR="000222BB" w14:paraId="263B3799" w14:textId="77777777">
        <w:trPr>
          <w:cantSplit/>
          <w:jc w:val="center"/>
        </w:trPr>
        <w:tc>
          <w:tcPr>
            <w:tcW w:w="2733"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68C2179" w14:textId="77777777" w:rsidR="000222BB" w:rsidRDefault="00BA1370">
            <w:pPr>
              <w:keepNext/>
              <w:spacing w:line="220" w:lineRule="auto"/>
            </w:pPr>
            <w:r>
              <w:rPr>
                <w:sz w:val="15"/>
                <w:szCs w:val="15"/>
              </w:rPr>
              <w:t>PCMCI [24]</w:t>
            </w:r>
          </w:p>
        </w:tc>
        <w:tc>
          <w:tcPr>
            <w:tcW w:w="153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8ED1E55" w14:textId="77777777" w:rsidR="000222BB" w:rsidRDefault="00BA1370">
            <w:pPr>
              <w:keepNext/>
              <w:spacing w:line="220" w:lineRule="auto"/>
              <w:jc w:val="center"/>
            </w:pPr>
            <w:r>
              <w:rPr>
                <w:sz w:val="15"/>
                <w:szCs w:val="15"/>
              </w:rPr>
              <w:t>Earth science</w:t>
            </w:r>
          </w:p>
        </w:tc>
        <w:tc>
          <w:tcPr>
            <w:tcW w:w="103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BB19AFD"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103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793BC58"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92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9AD4D0A"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92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8716701"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103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1895A31"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12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D55F8EC" w14:textId="77777777" w:rsidR="000222BB" w:rsidRDefault="00BA1370">
            <w:pPr>
              <w:keepNext/>
              <w:spacing w:line="220" w:lineRule="auto"/>
              <w:jc w:val="center"/>
            </w:pPr>
            <w:r>
              <w:rPr>
                <w:rFonts w:ascii="Segoe UI Symbol" w:eastAsia="Segoe UI Symbol" w:hAnsi="Segoe UI Symbol" w:cs="Segoe UI Symbol"/>
                <w:sz w:val="15"/>
                <w:szCs w:val="15"/>
              </w:rPr>
              <w:t>—</w:t>
            </w:r>
          </w:p>
        </w:tc>
      </w:tr>
      <w:tr w:rsidR="000222BB" w14:paraId="18BD7FBB" w14:textId="77777777">
        <w:trPr>
          <w:cantSplit/>
          <w:jc w:val="center"/>
        </w:trPr>
        <w:tc>
          <w:tcPr>
            <w:tcW w:w="2733"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8D0B575" w14:textId="77777777" w:rsidR="000222BB" w:rsidRDefault="00BA1370">
            <w:pPr>
              <w:keepNext/>
              <w:spacing w:line="220" w:lineRule="auto"/>
            </w:pPr>
            <w:r>
              <w:rPr>
                <w:sz w:val="15"/>
                <w:szCs w:val="15"/>
              </w:rPr>
              <w:t>LLM text-to-SQL [40], [41]</w:t>
            </w:r>
          </w:p>
        </w:tc>
        <w:tc>
          <w:tcPr>
            <w:tcW w:w="153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09CE3149" w14:textId="77777777" w:rsidR="000222BB" w:rsidRDefault="00BA1370">
            <w:pPr>
              <w:keepNext/>
              <w:spacing w:line="220" w:lineRule="auto"/>
              <w:jc w:val="center"/>
            </w:pPr>
            <w:r>
              <w:rPr>
                <w:sz w:val="15"/>
                <w:szCs w:val="15"/>
              </w:rPr>
              <w:t>Databases</w:t>
            </w:r>
          </w:p>
        </w:tc>
        <w:tc>
          <w:tcPr>
            <w:tcW w:w="103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6456096"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103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E9734A1"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92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9CAF209"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92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9B40C53"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103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B49A9D0"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12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4046C59" w14:textId="77777777" w:rsidR="000222BB" w:rsidRDefault="00BA1370">
            <w:pPr>
              <w:keepNext/>
              <w:spacing w:line="220" w:lineRule="auto"/>
              <w:jc w:val="center"/>
            </w:pPr>
            <w:r>
              <w:rPr>
                <w:rFonts w:ascii="Segoe UI Symbol" w:eastAsia="Segoe UI Symbol" w:hAnsi="Segoe UI Symbol" w:cs="Segoe UI Symbol"/>
                <w:sz w:val="15"/>
                <w:szCs w:val="15"/>
              </w:rPr>
              <w:t>◐</w:t>
            </w:r>
          </w:p>
        </w:tc>
      </w:tr>
      <w:tr w:rsidR="000222BB" w14:paraId="5CD1BE3E" w14:textId="77777777">
        <w:trPr>
          <w:cantSplit/>
          <w:jc w:val="center"/>
        </w:trPr>
        <w:tc>
          <w:tcPr>
            <w:tcW w:w="2733" w:type="dxa"/>
            <w:tcBorders>
              <w:top w:val="none" w:sz="0" w:space="0" w:color="FFFFFF"/>
              <w:left w:val="none" w:sz="0" w:space="0" w:color="FFFFFF"/>
              <w:bottom w:val="single" w:sz="4" w:space="0" w:color="000000"/>
              <w:right w:val="none" w:sz="0" w:space="0" w:color="FFFFFF"/>
            </w:tcBorders>
            <w:shd w:val="clear" w:color="auto" w:fill="E8E8E8"/>
            <w:tcMar>
              <w:top w:w="20" w:type="dxa"/>
              <w:left w:w="50" w:type="dxa"/>
              <w:bottom w:w="20" w:type="dxa"/>
              <w:right w:w="50" w:type="dxa"/>
            </w:tcMar>
          </w:tcPr>
          <w:p w14:paraId="38D9E3E7" w14:textId="77777777" w:rsidR="000222BB" w:rsidRDefault="00BA1370">
            <w:pPr>
              <w:spacing w:line="220" w:lineRule="auto"/>
            </w:pPr>
            <w:r>
              <w:rPr>
                <w:b/>
                <w:bCs/>
                <w:sz w:val="15"/>
                <w:szCs w:val="15"/>
              </w:rPr>
              <w:t>KAIROS (this work)</w:t>
            </w:r>
          </w:p>
        </w:tc>
        <w:tc>
          <w:tcPr>
            <w:tcW w:w="1530" w:type="dxa"/>
            <w:tcBorders>
              <w:top w:val="none" w:sz="0" w:space="0" w:color="FFFFFF"/>
              <w:left w:val="none" w:sz="0" w:space="0" w:color="FFFFFF"/>
              <w:bottom w:val="single" w:sz="4" w:space="0" w:color="000000"/>
              <w:right w:val="none" w:sz="0" w:space="0" w:color="FFFFFF"/>
            </w:tcBorders>
            <w:shd w:val="clear" w:color="auto" w:fill="E8E8E8"/>
            <w:tcMar>
              <w:top w:w="20" w:type="dxa"/>
              <w:left w:w="50" w:type="dxa"/>
              <w:bottom w:w="20" w:type="dxa"/>
              <w:right w:w="50" w:type="dxa"/>
            </w:tcMar>
          </w:tcPr>
          <w:p w14:paraId="1A08ECE3" w14:textId="77777777" w:rsidR="000222BB" w:rsidRDefault="00BA1370">
            <w:pPr>
              <w:spacing w:line="220" w:lineRule="auto"/>
              <w:jc w:val="center"/>
            </w:pPr>
            <w:r>
              <w:rPr>
                <w:sz w:val="15"/>
                <w:szCs w:val="15"/>
              </w:rPr>
              <w:t>Business KPIs</w:t>
            </w:r>
          </w:p>
        </w:tc>
        <w:tc>
          <w:tcPr>
            <w:tcW w:w="1039" w:type="dxa"/>
            <w:tcBorders>
              <w:top w:val="none" w:sz="0" w:space="0" w:color="FFFFFF"/>
              <w:left w:val="none" w:sz="0" w:space="0" w:color="FFFFFF"/>
              <w:bottom w:val="single" w:sz="4" w:space="0" w:color="000000"/>
              <w:right w:val="none" w:sz="0" w:space="0" w:color="FFFFFF"/>
            </w:tcBorders>
            <w:shd w:val="clear" w:color="auto" w:fill="E8E8E8"/>
            <w:tcMar>
              <w:top w:w="20" w:type="dxa"/>
              <w:left w:w="50" w:type="dxa"/>
              <w:bottom w:w="20" w:type="dxa"/>
              <w:right w:w="50" w:type="dxa"/>
            </w:tcMar>
          </w:tcPr>
          <w:p w14:paraId="63747D61" w14:textId="77777777" w:rsidR="000222BB" w:rsidRDefault="00BA1370">
            <w:pPr>
              <w:spacing w:line="220" w:lineRule="auto"/>
              <w:jc w:val="center"/>
            </w:pPr>
            <w:r>
              <w:rPr>
                <w:rFonts w:ascii="Segoe UI Symbol" w:eastAsia="Segoe UI Symbol" w:hAnsi="Segoe UI Symbol" w:cs="Segoe UI Symbol"/>
                <w:sz w:val="15"/>
                <w:szCs w:val="15"/>
              </w:rPr>
              <w:t>✓</w:t>
            </w:r>
          </w:p>
        </w:tc>
        <w:tc>
          <w:tcPr>
            <w:tcW w:w="1039" w:type="dxa"/>
            <w:tcBorders>
              <w:top w:val="none" w:sz="0" w:space="0" w:color="FFFFFF"/>
              <w:left w:val="none" w:sz="0" w:space="0" w:color="FFFFFF"/>
              <w:bottom w:val="single" w:sz="4" w:space="0" w:color="000000"/>
              <w:right w:val="none" w:sz="0" w:space="0" w:color="FFFFFF"/>
            </w:tcBorders>
            <w:shd w:val="clear" w:color="auto" w:fill="E8E8E8"/>
            <w:tcMar>
              <w:top w:w="20" w:type="dxa"/>
              <w:left w:w="50" w:type="dxa"/>
              <w:bottom w:w="20" w:type="dxa"/>
              <w:right w:w="50" w:type="dxa"/>
            </w:tcMar>
          </w:tcPr>
          <w:p w14:paraId="06FAE5EE" w14:textId="77777777" w:rsidR="000222BB" w:rsidRDefault="00BA1370">
            <w:pPr>
              <w:spacing w:line="220" w:lineRule="auto"/>
              <w:jc w:val="center"/>
            </w:pPr>
            <w:r>
              <w:rPr>
                <w:rFonts w:ascii="Segoe UI Symbol" w:eastAsia="Segoe UI Symbol" w:hAnsi="Segoe UI Symbol" w:cs="Segoe UI Symbol"/>
                <w:sz w:val="15"/>
                <w:szCs w:val="15"/>
              </w:rPr>
              <w:t>✓</w:t>
            </w:r>
          </w:p>
        </w:tc>
        <w:tc>
          <w:tcPr>
            <w:tcW w:w="929" w:type="dxa"/>
            <w:tcBorders>
              <w:top w:val="none" w:sz="0" w:space="0" w:color="FFFFFF"/>
              <w:left w:val="none" w:sz="0" w:space="0" w:color="FFFFFF"/>
              <w:bottom w:val="single" w:sz="4" w:space="0" w:color="000000"/>
              <w:right w:val="none" w:sz="0" w:space="0" w:color="FFFFFF"/>
            </w:tcBorders>
            <w:shd w:val="clear" w:color="auto" w:fill="E8E8E8"/>
            <w:tcMar>
              <w:top w:w="20" w:type="dxa"/>
              <w:left w:w="50" w:type="dxa"/>
              <w:bottom w:w="20" w:type="dxa"/>
              <w:right w:w="50" w:type="dxa"/>
            </w:tcMar>
          </w:tcPr>
          <w:p w14:paraId="6253A051" w14:textId="77777777" w:rsidR="000222BB" w:rsidRDefault="00BA1370">
            <w:pPr>
              <w:spacing w:line="220" w:lineRule="auto"/>
              <w:jc w:val="center"/>
            </w:pPr>
            <w:r>
              <w:rPr>
                <w:rFonts w:ascii="Segoe UI Symbol" w:eastAsia="Segoe UI Symbol" w:hAnsi="Segoe UI Symbol" w:cs="Segoe UI Symbol"/>
                <w:sz w:val="15"/>
                <w:szCs w:val="15"/>
              </w:rPr>
              <w:t>✓</w:t>
            </w:r>
          </w:p>
        </w:tc>
        <w:tc>
          <w:tcPr>
            <w:tcW w:w="929" w:type="dxa"/>
            <w:tcBorders>
              <w:top w:val="none" w:sz="0" w:space="0" w:color="FFFFFF"/>
              <w:left w:val="none" w:sz="0" w:space="0" w:color="FFFFFF"/>
              <w:bottom w:val="single" w:sz="4" w:space="0" w:color="000000"/>
              <w:right w:val="none" w:sz="0" w:space="0" w:color="FFFFFF"/>
            </w:tcBorders>
            <w:shd w:val="clear" w:color="auto" w:fill="E8E8E8"/>
            <w:tcMar>
              <w:top w:w="20" w:type="dxa"/>
              <w:left w:w="50" w:type="dxa"/>
              <w:bottom w:w="20" w:type="dxa"/>
              <w:right w:w="50" w:type="dxa"/>
            </w:tcMar>
          </w:tcPr>
          <w:p w14:paraId="3D3A40DB" w14:textId="77777777" w:rsidR="000222BB" w:rsidRDefault="00BA1370">
            <w:pPr>
              <w:spacing w:line="220" w:lineRule="auto"/>
              <w:jc w:val="center"/>
            </w:pPr>
            <w:r>
              <w:rPr>
                <w:rFonts w:ascii="Segoe UI Symbol" w:eastAsia="Segoe UI Symbol" w:hAnsi="Segoe UI Symbol" w:cs="Segoe UI Symbol"/>
                <w:sz w:val="15"/>
                <w:szCs w:val="15"/>
              </w:rPr>
              <w:t>✓</w:t>
            </w:r>
          </w:p>
        </w:tc>
        <w:tc>
          <w:tcPr>
            <w:tcW w:w="1039" w:type="dxa"/>
            <w:tcBorders>
              <w:top w:val="none" w:sz="0" w:space="0" w:color="FFFFFF"/>
              <w:left w:val="none" w:sz="0" w:space="0" w:color="FFFFFF"/>
              <w:bottom w:val="single" w:sz="4" w:space="0" w:color="000000"/>
              <w:right w:val="none" w:sz="0" w:space="0" w:color="FFFFFF"/>
            </w:tcBorders>
            <w:shd w:val="clear" w:color="auto" w:fill="E8E8E8"/>
            <w:tcMar>
              <w:top w:w="20" w:type="dxa"/>
              <w:left w:w="50" w:type="dxa"/>
              <w:bottom w:w="20" w:type="dxa"/>
              <w:right w:w="50" w:type="dxa"/>
            </w:tcMar>
          </w:tcPr>
          <w:p w14:paraId="7ED6EDF1" w14:textId="77777777" w:rsidR="000222BB" w:rsidRDefault="00BA1370">
            <w:pPr>
              <w:spacing w:line="220" w:lineRule="auto"/>
              <w:jc w:val="center"/>
            </w:pPr>
            <w:r>
              <w:rPr>
                <w:rFonts w:ascii="Segoe UI Symbol" w:eastAsia="Segoe UI Symbol" w:hAnsi="Segoe UI Symbol" w:cs="Segoe UI Symbol"/>
                <w:sz w:val="15"/>
                <w:szCs w:val="15"/>
              </w:rPr>
              <w:t>✓</w:t>
            </w:r>
          </w:p>
        </w:tc>
        <w:tc>
          <w:tcPr>
            <w:tcW w:w="1202" w:type="dxa"/>
            <w:tcBorders>
              <w:top w:val="none" w:sz="0" w:space="0" w:color="FFFFFF"/>
              <w:left w:val="none" w:sz="0" w:space="0" w:color="FFFFFF"/>
              <w:bottom w:val="single" w:sz="4" w:space="0" w:color="000000"/>
              <w:right w:val="none" w:sz="0" w:space="0" w:color="FFFFFF"/>
            </w:tcBorders>
            <w:shd w:val="clear" w:color="auto" w:fill="E8E8E8"/>
            <w:tcMar>
              <w:top w:w="20" w:type="dxa"/>
              <w:left w:w="50" w:type="dxa"/>
              <w:bottom w:w="20" w:type="dxa"/>
              <w:right w:w="50" w:type="dxa"/>
            </w:tcMar>
          </w:tcPr>
          <w:p w14:paraId="16733555" w14:textId="77777777" w:rsidR="000222BB" w:rsidRDefault="00BA1370">
            <w:pPr>
              <w:spacing w:line="220" w:lineRule="auto"/>
              <w:jc w:val="center"/>
            </w:pPr>
            <w:r>
              <w:rPr>
                <w:rFonts w:ascii="Segoe UI Symbol" w:eastAsia="Segoe UI Symbol" w:hAnsi="Segoe UI Symbol" w:cs="Segoe UI Symbol"/>
                <w:sz w:val="15"/>
                <w:szCs w:val="15"/>
              </w:rPr>
              <w:t>✓</w:t>
            </w:r>
          </w:p>
        </w:tc>
      </w:tr>
    </w:tbl>
    <w:p w14:paraId="757C2B7C" w14:textId="77777777" w:rsidR="000222BB" w:rsidRDefault="000222BB">
      <w:pPr>
        <w:spacing w:after="100"/>
        <w:sectPr w:rsidR="000222BB">
          <w:type w:val="continuous"/>
          <w:pgSz w:w="12240" w:h="15840"/>
          <w:pgMar w:top="1080" w:right="900" w:bottom="1440" w:left="900" w:header="708" w:footer="708" w:gutter="0"/>
          <w:cols w:space="720"/>
          <w:docGrid w:linePitch="360"/>
        </w:sectPr>
      </w:pPr>
    </w:p>
    <w:p w14:paraId="379D2185" w14:textId="77777777" w:rsidR="000222BB" w:rsidRDefault="00BA1370">
      <w:pPr>
        <w:ind w:firstLine="202"/>
        <w:jc w:val="both"/>
      </w:pPr>
      <w:r>
        <w:t xml:space="preserve">Three gaps stand out. First, BI tools explain by association and wait for the user, so a manager learns of a problem late and receives a list of correlated fields. Second, KPI localisers find the slice of the data in which a total changed, and AIOps systems find the faulty service, but neither connects business metrics such as advertising spend, conversion, delivery delay and churn into one directed, lagged graph. Third, LLM data assistants answer a question that the user must first think to ask, and their </w:t>
      </w:r>
      <w:r>
        <w:t>explanations are not checked against the data. KAIROS is the only system in Table I with all six properties, and it is built only from free, open components. Section VII measures the gain: against the graph learners used by prior causal methods, KAIROS raises exact origin localisation from 40–60% to 100%.</w:t>
      </w:r>
    </w:p>
    <w:p w14:paraId="221BAD55" w14:textId="77777777" w:rsidR="000222BB" w:rsidRDefault="00BA1370">
      <w:pPr>
        <w:keepNext/>
        <w:spacing w:before="160" w:after="80"/>
        <w:jc w:val="center"/>
      </w:pPr>
      <w:r>
        <w:rPr>
          <w:smallCaps/>
        </w:rPr>
        <w:t>IV. System Architecture</w:t>
      </w:r>
    </w:p>
    <w:p w14:paraId="1AD54A55" w14:textId="77777777" w:rsidR="000222BB" w:rsidRDefault="00BA1370">
      <w:pPr>
        <w:keepNext/>
        <w:spacing w:before="100" w:after="40"/>
      </w:pPr>
      <w:r>
        <w:rPr>
          <w:i/>
          <w:iCs/>
        </w:rPr>
        <w:t>A. Agent Pipeline</w:t>
      </w:r>
    </w:p>
    <w:p w14:paraId="0391580E" w14:textId="77777777" w:rsidR="000222BB" w:rsidRDefault="00BA1370">
      <w:pPr>
        <w:ind w:firstLine="202"/>
        <w:jc w:val="both"/>
      </w:pPr>
      <w:r>
        <w:t>Fig. 1 shows the architecture. Data from every source is normalised to rows of (source, metric, timestamp, value) and upserted into an embedded DuckDB store on that key, so repeated loads never duplicate data. A LangGraph state machine runs five agents every 15 minutes: collect, detect, investigate, report and alert [45]. The graph ends after detection when no new alert-worthy anomaly exists, which keeps quiet cycles cheap and prevents repeated alerts. A FastAPI service exposes the results, and alerts are s</w:t>
      </w:r>
      <w:r>
        <w:t>ent through Telegram, e-mail or the dashboard.</w:t>
      </w:r>
    </w:p>
    <w:p w14:paraId="79EBB4E6" w14:textId="77777777" w:rsidR="000222BB" w:rsidRDefault="00BA1370">
      <w:pPr>
        <w:keepNext/>
        <w:spacing w:before="100" w:after="40"/>
        <w:jc w:val="center"/>
      </w:pPr>
      <w:r>
        <w:rPr>
          <w:noProof/>
        </w:rPr>
        <w:lastRenderedPageBreak/>
        <w:drawing>
          <wp:inline distT="0" distB="0" distL="0" distR="0" wp14:anchorId="5D022E0A" wp14:editId="37AD0B0D">
            <wp:extent cx="264795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647950" cy="3238500"/>
                    </a:xfrm>
                    <a:prstGeom prst="rect">
                      <a:avLst/>
                    </a:prstGeom>
                  </pic:spPr>
                </pic:pic>
              </a:graphicData>
            </a:graphic>
          </wp:inline>
        </w:drawing>
      </w:r>
    </w:p>
    <w:p w14:paraId="6287D503" w14:textId="77777777" w:rsidR="000222BB" w:rsidRDefault="00BA1370">
      <w:pPr>
        <w:spacing w:after="120"/>
        <w:jc w:val="both"/>
      </w:pPr>
      <w:r>
        <w:rPr>
          <w:sz w:val="16"/>
          <w:szCs w:val="16"/>
        </w:rPr>
        <w:t>Fig. 1. KAIROS pipeline. The investigation stage (bold) is the focus of this paper.</w:t>
      </w:r>
    </w:p>
    <w:p w14:paraId="1003BEDE" w14:textId="77777777" w:rsidR="000222BB" w:rsidRDefault="00BA1370">
      <w:pPr>
        <w:keepNext/>
        <w:spacing w:before="100" w:after="40"/>
      </w:pPr>
      <w:r>
        <w:rPr>
          <w:i/>
          <w:iCs/>
        </w:rPr>
        <w:t>B. Low-Cost Ingestion and Fast Transfer</w:t>
      </w:r>
    </w:p>
    <w:p w14:paraId="7ABDF7E7" w14:textId="77777777" w:rsidR="000222BB" w:rsidRDefault="00BA1370">
      <w:pPr>
        <w:ind w:firstLine="202"/>
        <w:jc w:val="both"/>
      </w:pPr>
      <w:r>
        <w:t>Instead of one connector per product, KAIROS uses five protocol adapters that cover almost every company system. The SQL adapter pushes the aggregation query into the source database, so a large table returns a few kilobytes of KPIs. The SFTP/FTP adapter fetches only files that are new since the last sync. The file adapter reads CSV, Excel and Parquet from disk or cloud storage, the REST adapter handles authentication, paging and incremental queries, and push clients or an edge agent [47] post KPIs that are</w:t>
      </w:r>
      <w:r>
        <w:t xml:space="preserve"> aggregated next to the data. Column names are mapped to metrics by rule-based schema matching.</w:t>
      </w:r>
    </w:p>
    <w:p w14:paraId="64DC4E07" w14:textId="77777777" w:rsidR="000222BB" w:rsidRDefault="00BA1370">
      <w:pPr>
        <w:ind w:firstLine="202"/>
        <w:jc w:val="both"/>
        <w:sectPr w:rsidR="000222BB">
          <w:type w:val="continuous"/>
          <w:pgSz w:w="12240" w:h="15840"/>
          <w:pgMar w:top="1080" w:right="900" w:bottom="1440" w:left="900" w:header="708" w:footer="708" w:gutter="0"/>
          <w:cols w:num="2" w:space="360"/>
          <w:docGrid w:linePitch="360"/>
        </w:sectPr>
      </w:pPr>
      <w:r>
        <w:t>When a raw file must move, the Fast Transfer service splits it into chunks of 1 to 32 MB, compresses each chunk with gzip or Zstandard, hashes it with SHA-256 and uploads the chunks over parallel HTTPS connections with retries [48]. The server checks every chunk, writes it at its offset and, after a dropped connection, asks only for the missing chunks. This gives the speed of commercial transfer accelerators at no cost and without per-row connector fees. Fig. 2 shows both parts running in the dashboard.</w:t>
      </w:r>
    </w:p>
    <w:p w14:paraId="72AA5F25" w14:textId="77777777" w:rsidR="000222BB" w:rsidRDefault="00BA1370">
      <w:pPr>
        <w:keepNext/>
        <w:spacing w:before="100" w:after="40"/>
        <w:jc w:val="center"/>
      </w:pPr>
      <w:r>
        <w:rPr>
          <w:noProof/>
        </w:rPr>
        <w:drawing>
          <wp:inline distT="0" distB="0" distL="0" distR="0" wp14:anchorId="048DCE43" wp14:editId="4F2EA054">
            <wp:extent cx="5124450" cy="4086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24450" cy="4086225"/>
                    </a:xfrm>
                    <a:prstGeom prst="rect">
                      <a:avLst/>
                    </a:prstGeom>
                  </pic:spPr>
                </pic:pic>
              </a:graphicData>
            </a:graphic>
          </wp:inline>
        </w:drawing>
      </w:r>
    </w:p>
    <w:p w14:paraId="0D111145" w14:textId="77777777" w:rsidR="000222BB" w:rsidRDefault="00BA1370">
      <w:pPr>
        <w:spacing w:after="120"/>
        <w:jc w:val="center"/>
        <w:sectPr w:rsidR="000222BB">
          <w:type w:val="continuous"/>
          <w:pgSz w:w="12240" w:h="15840"/>
          <w:pgMar w:top="1080" w:right="900" w:bottom="1440" w:left="900" w:header="708" w:footer="708" w:gutter="0"/>
          <w:cols w:space="720"/>
          <w:docGrid w:linePitch="360"/>
        </w:sectPr>
      </w:pPr>
      <w:r>
        <w:rPr>
          <w:sz w:val="16"/>
          <w:szCs w:val="16"/>
        </w:rPr>
        <w:t>Fig. 2. Ingestion in the dashboard: (a) five sources registered through the SQL, SFTP/FTP, file, push and REST adapters, synced incrementally; (b) measured transfer of the same export by FTP, Fast Transfer and the edge agent.</w:t>
      </w:r>
    </w:p>
    <w:p w14:paraId="62D03D3C" w14:textId="77777777" w:rsidR="000222BB" w:rsidRDefault="00BA1370">
      <w:pPr>
        <w:keepNext/>
        <w:spacing w:before="100" w:after="40"/>
      </w:pPr>
      <w:r>
        <w:rPr>
          <w:i/>
          <w:iCs/>
        </w:rPr>
        <w:t>C. Dashboard</w:t>
      </w:r>
    </w:p>
    <w:p w14:paraId="69CA1756" w14:textId="77777777" w:rsidR="000222BB" w:rsidRDefault="00BA1370">
      <w:pPr>
        <w:ind w:firstLine="202"/>
        <w:jc w:val="both"/>
        <w:sectPr w:rsidR="000222BB">
          <w:type w:val="continuous"/>
          <w:pgSz w:w="12240" w:h="15840"/>
          <w:pgMar w:top="1080" w:right="900" w:bottom="1440" w:left="900" w:header="708" w:footer="708" w:gutter="0"/>
          <w:cols w:num="2" w:space="360"/>
          <w:docGrid w:linePitch="360"/>
        </w:sectPr>
      </w:pPr>
      <w:r>
        <w:t>The React dashboard has five pages. The Overview (Fig. 3) shows the monitored metrics, the anomalies by severity, a detail chart and recent pipeline runs. Causal Analysis draws the learned graph and the ranked chains (Fig. 4). Reports &amp; Alerts shows the verified executive report (Fig. 5), and Data Sources and Fast Transfer manage ingestion (Fig. 2). All figures are screenshots of the running system on simulated company data.</w:t>
      </w:r>
    </w:p>
    <w:p w14:paraId="08EE37B4" w14:textId="77777777" w:rsidR="000222BB" w:rsidRDefault="00BA1370">
      <w:pPr>
        <w:keepNext/>
        <w:spacing w:before="100" w:after="40"/>
        <w:jc w:val="center"/>
      </w:pPr>
      <w:r>
        <w:rPr>
          <w:noProof/>
        </w:rPr>
        <w:drawing>
          <wp:inline distT="0" distB="0" distL="0" distR="0" wp14:anchorId="4AC99500" wp14:editId="3265FCB7">
            <wp:extent cx="5762625" cy="3867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3867150"/>
                    </a:xfrm>
                    <a:prstGeom prst="rect">
                      <a:avLst/>
                    </a:prstGeom>
                  </pic:spPr>
                </pic:pic>
              </a:graphicData>
            </a:graphic>
          </wp:inline>
        </w:drawing>
      </w:r>
    </w:p>
    <w:p w14:paraId="35DBB8BA" w14:textId="77777777" w:rsidR="000222BB" w:rsidRDefault="00BA1370">
      <w:pPr>
        <w:spacing w:after="120"/>
        <w:jc w:val="center"/>
        <w:sectPr w:rsidR="000222BB">
          <w:type w:val="continuous"/>
          <w:pgSz w:w="12240" w:h="15840"/>
          <w:pgMar w:top="1080" w:right="900" w:bottom="1440" w:left="900" w:header="708" w:footer="708" w:gutter="0"/>
          <w:cols w:space="720"/>
          <w:docGrid w:linePitch="360"/>
        </w:sectPr>
      </w:pPr>
      <w:r>
        <w:rPr>
          <w:sz w:val="16"/>
          <w:szCs w:val="16"/>
        </w:rPr>
        <w:t xml:space="preserve">Fig. 3. </w:t>
      </w:r>
      <w:r>
        <w:rPr>
          <w:sz w:val="16"/>
          <w:szCs w:val="16"/>
        </w:rPr>
        <w:t>KAIROS Overview dashboard: 17 metrics from 5 sources are monitored without a user query; anomalies are listed by severity with observed value, expected value and robust z-score, and the selected metric is plotted with its anomalies.</w:t>
      </w:r>
    </w:p>
    <w:p w14:paraId="494A8439" w14:textId="77777777" w:rsidR="000222BB" w:rsidRDefault="00BA1370">
      <w:pPr>
        <w:keepNext/>
        <w:spacing w:before="160" w:after="80"/>
        <w:jc w:val="center"/>
      </w:pPr>
      <w:r>
        <w:rPr>
          <w:smallCaps/>
        </w:rPr>
        <w:t>V. Method</w:t>
      </w:r>
    </w:p>
    <w:p w14:paraId="4ABF5194" w14:textId="77777777" w:rsidR="000222BB" w:rsidRDefault="00BA1370">
      <w:pPr>
        <w:keepNext/>
        <w:spacing w:before="100" w:after="40"/>
      </w:pPr>
      <w:r>
        <w:rPr>
          <w:i/>
          <w:iCs/>
        </w:rPr>
        <w:t>A. Seasonal Robust Detection</w:t>
      </w:r>
    </w:p>
    <w:p w14:paraId="28A9708F" w14:textId="77777777" w:rsidR="000222BB" w:rsidRDefault="00BA1370">
      <w:pPr>
        <w:ind w:firstLine="202"/>
        <w:jc w:val="both"/>
      </w:pPr>
      <w:r>
        <w:t xml:space="preserve">For a metric series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the expected value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a centred rolling median plus an hour-of-day profile of the residuals, kept only when it reduces their spread. The residual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scaled by the median absolute deviation (MAD) [5], which the outliers themselves do not inflate, giving the robust score</w:t>
      </w:r>
    </w:p>
    <w:p w14:paraId="074FF6F8" w14:textId="77777777" w:rsidR="000222BB" w:rsidRDefault="00BA1370">
      <w:pPr>
        <w:tabs>
          <w:tab w:val="center" w:pos="2520"/>
          <w:tab w:val="right" w:pos="5040"/>
        </w:tabs>
        <w:spacing w:before="60" w:after="60"/>
      </w:pPr>
      <w:r>
        <w:tab/>
      </w: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t</m:t>
                </m:r>
              </m:sub>
            </m:sSub>
          </m:num>
          <m:den>
            <m:r>
              <w:rPr>
                <w:rFonts w:ascii="Cambria Math" w:hAnsi="Cambria Math"/>
              </w:rPr>
              <m:t xml:space="preserve">1.4826 · </m:t>
            </m:r>
            <m:r>
              <m:rPr>
                <m:sty m:val="p"/>
              </m:rPr>
              <w:rPr>
                <w:rFonts w:ascii="Cambria Math" w:hAnsi="Cambria Math"/>
              </w:rPr>
              <m:t>MAD</m:t>
            </m:r>
            <m:r>
              <w:rPr>
                <w:rFonts w:ascii="Cambria Math" w:hAnsi="Cambria Math"/>
              </w:rPr>
              <m:t>(</m:t>
            </m:r>
            <m:r>
              <w:rPr>
                <w:rFonts w:ascii="Cambria Math" w:hAnsi="Cambria Math"/>
              </w:rPr>
              <m:t>r</m:t>
            </m:r>
            <m:r>
              <w:rPr>
                <w:rFonts w:ascii="Cambria Math" w:hAnsi="Cambria Math"/>
              </w:rPr>
              <m:t>)</m:t>
            </m:r>
          </m:den>
        </m:f>
      </m:oMath>
      <w:r>
        <w:tab/>
        <w:t>(1)</w:t>
      </w:r>
    </w:p>
    <w:p w14:paraId="21C2337B" w14:textId="77777777" w:rsidR="000222BB" w:rsidRDefault="00BA1370">
      <w:pPr>
        <w:jc w:val="both"/>
      </w:pPr>
      <w:r>
        <w:t xml:space="preserve">A point is anomalous when </w:t>
      </w:r>
      <m:oMath>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 ≥ 3.5</m:t>
        </m:r>
      </m:oMath>
      <w:r>
        <w:t>; severity is medium from 4.5, high from 6 and critical from 9. Prophet [4] can be added as a second detector. Anomalies are stored with their key, so a point is reported as new only once.</w:t>
      </w:r>
    </w:p>
    <w:p w14:paraId="323DAFAE" w14:textId="77777777" w:rsidR="000222BB" w:rsidRDefault="00BA1370">
      <w:pPr>
        <w:keepNext/>
        <w:spacing w:before="100" w:after="40"/>
      </w:pPr>
      <w:r>
        <w:rPr>
          <w:i/>
          <w:iCs/>
        </w:rPr>
        <w:t>B. Causal Discovery with DYNOTEARS</w:t>
      </w:r>
    </w:p>
    <w:p w14:paraId="03897052" w14:textId="77777777" w:rsidR="000222BB" w:rsidRDefault="00BA1370">
      <w:pPr>
        <w:ind w:firstLine="202"/>
        <w:jc w:val="both"/>
      </w:pPr>
      <w:r>
        <w:t>The metrics are aligned to a common grid, winsorised at 3.5 robust standard deviations so that the anomalies do not shape the learned structure, and standardised. DYNOTEARS [8] models them as a structural vector autoregression</w:t>
      </w:r>
    </w:p>
    <w:p w14:paraId="4AA69F8D" w14:textId="77777777" w:rsidR="000222BB" w:rsidRDefault="00BA1370">
      <w:pPr>
        <w:tabs>
          <w:tab w:val="center" w:pos="2520"/>
          <w:tab w:val="right" w:pos="5040"/>
        </w:tabs>
        <w:spacing w:before="60" w:after="60"/>
      </w:pPr>
      <w:r>
        <w:tab/>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W</m:t>
        </m:r>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t</m:t>
            </m:r>
            <m:r>
              <w:rPr>
                <w:rFonts w:ascii="Cambria Math" w:hAnsi="Cambria Math"/>
              </w:rPr>
              <m:t>-1</m:t>
            </m:r>
          </m:sub>
        </m:sSub>
        <m:r>
          <w:rPr>
            <w:rFonts w:ascii="Cambria Math" w:hAnsi="Cambria Math"/>
          </w:rPr>
          <m:t>A</m:t>
        </m:r>
        <m:r>
          <w:rPr>
            <w:rFonts w:ascii="Cambria Math" w:hAnsi="Cambria Math"/>
          </w:rPr>
          <m:t xml:space="preserve"> + </m:t>
        </m:r>
        <m:r>
          <w:rPr>
            <w:rFonts w:ascii="Cambria Math" w:hAnsi="Cambria Math"/>
          </w:rPr>
          <m:t>E</m:t>
        </m:r>
      </m:oMath>
      <w:r>
        <w:tab/>
        <w:t>(2)</w:t>
      </w:r>
    </w:p>
    <w:p w14:paraId="7543D30A" w14:textId="77777777" w:rsidR="000222BB" w:rsidRDefault="00BA1370">
      <w:pPr>
        <w:jc w:val="both"/>
      </w:pPr>
      <w:r>
        <w:t xml:space="preserve">where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is the </w:t>
      </w:r>
      <m:oMath>
        <m:r>
          <w:rPr>
            <w:rFonts w:ascii="Cambria Math" w:hAnsi="Cambria Math"/>
          </w:rPr>
          <m:t>n</m:t>
        </m:r>
        <m:r>
          <w:rPr>
            <w:rFonts w:ascii="Cambria Math" w:hAnsi="Cambria Math"/>
          </w:rPr>
          <m:t xml:space="preserve"> × </m:t>
        </m:r>
        <m:r>
          <w:rPr>
            <w:rFonts w:ascii="Cambria Math" w:hAnsi="Cambria Math"/>
          </w:rPr>
          <m:t>d</m:t>
        </m:r>
      </m:oMath>
      <w:r>
        <w:t xml:space="preserve"> matrix of the </w:t>
      </w:r>
      <m:oMath>
        <m:r>
          <w:rPr>
            <w:rFonts w:ascii="Cambria Math" w:hAnsi="Cambria Math"/>
          </w:rPr>
          <m:t>d</m:t>
        </m:r>
      </m:oMath>
      <w:r>
        <w:t xml:space="preserve"> metrics, </w:t>
      </w:r>
      <m:oMath>
        <m:r>
          <w:rPr>
            <w:rFonts w:ascii="Cambria Math" w:hAnsi="Cambria Math"/>
          </w:rPr>
          <m:t>W</m:t>
        </m:r>
      </m:oMath>
      <w:r>
        <w:t xml:space="preserve"> (</w:t>
      </w:r>
      <m:oMath>
        <m:r>
          <w:rPr>
            <w:rFonts w:ascii="Cambria Math" w:hAnsi="Cambria Math"/>
          </w:rPr>
          <m:t>d</m:t>
        </m:r>
        <m:r>
          <w:rPr>
            <w:rFonts w:ascii="Cambria Math" w:hAnsi="Cambria Math"/>
          </w:rPr>
          <m:t xml:space="preserve"> × </m:t>
        </m:r>
        <m:r>
          <w:rPr>
            <w:rFonts w:ascii="Cambria Math" w:hAnsi="Cambria Math"/>
          </w:rPr>
          <m:t>d</m:t>
        </m:r>
      </m:oMath>
      <w:r>
        <w:t xml:space="preserve">) holds same-step edges, </w:t>
      </w:r>
      <m:oMath>
        <m:r>
          <w:rPr>
            <w:rFonts w:ascii="Cambria Math" w:hAnsi="Cambria Math"/>
          </w:rPr>
          <m:t>A</m:t>
        </m:r>
      </m:oMath>
      <w:r>
        <w:t xml:space="preserve"> holds one-step lagged edges and </w:t>
      </w:r>
      <m:oMath>
        <m:r>
          <w:rPr>
            <w:rFonts w:ascii="Cambria Math" w:hAnsi="Cambria Math"/>
          </w:rPr>
          <m:t>E</m:t>
        </m:r>
      </m:oMath>
      <w:r>
        <w:t xml:space="preserve"> is noise. With the squared loss</w:t>
      </w:r>
    </w:p>
    <w:p w14:paraId="46041946" w14:textId="77777777" w:rsidR="000222BB" w:rsidRDefault="00BA1370">
      <w:pPr>
        <w:tabs>
          <w:tab w:val="center" w:pos="2520"/>
          <w:tab w:val="right" w:pos="5040"/>
        </w:tabs>
        <w:spacing w:before="60" w:after="60"/>
      </w:pPr>
      <w:r>
        <w:tab/>
      </w:r>
      <m:oMath>
        <m:r>
          <m:rPr>
            <m:scr m:val="script"/>
          </m:rPr>
          <w:rPr>
            <w:rFonts w:ascii="Cambria Math" w:hAnsi="Cambria Math"/>
          </w:rPr>
          <m:t>l(</m:t>
        </m:r>
        <m:r>
          <w:rPr>
            <w:rFonts w:ascii="Cambria Math" w:hAnsi="Cambria Math"/>
          </w:rPr>
          <m:t>W</m:t>
        </m:r>
        <m:r>
          <w:rPr>
            <w:rFonts w:ascii="Cambria Math" w:hAnsi="Cambria Math"/>
          </w:rPr>
          <m:t>,</m:t>
        </m:r>
        <m:r>
          <w:rPr>
            <w:rFonts w:ascii="Cambria Math" w:hAnsi="Cambria Math"/>
          </w:rPr>
          <m:t>A</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n</m:t>
            </m:r>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W</m:t>
        </m:r>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t</m:t>
            </m:r>
            <m:r>
              <w:rPr>
                <w:rFonts w:ascii="Cambria Math" w:hAnsi="Cambria Math"/>
              </w:rPr>
              <m:t>-1</m:t>
            </m:r>
          </m:sub>
        </m:sSub>
        <m:r>
          <w:rPr>
            <w:rFonts w:ascii="Cambria Math" w:hAnsi="Cambria Math"/>
          </w:rPr>
          <m:t>A</m:t>
        </m:r>
        <m:sSubSup>
          <m:sSubSupPr>
            <m:ctrlPr>
              <w:rPr>
                <w:rFonts w:ascii="Cambria Math" w:hAnsi="Cambria Math"/>
              </w:rPr>
            </m:ctrlPr>
          </m:sSubSupPr>
          <m:e>
            <m:r>
              <w:rPr>
                <w:rFonts w:ascii="Cambria Math" w:hAnsi="Cambria Math"/>
              </w:rPr>
              <m:t>‖</m:t>
            </m:r>
          </m:e>
          <m:sub>
            <m:r>
              <w:rPr>
                <w:rFonts w:ascii="Cambria Math" w:hAnsi="Cambria Math"/>
              </w:rPr>
              <m:t>F</m:t>
            </m:r>
          </m:sub>
          <m:sup>
            <m:r>
              <w:rPr>
                <w:rFonts w:ascii="Cambria Math" w:hAnsi="Cambria Math"/>
              </w:rPr>
              <m:t>2</m:t>
            </m:r>
          </m:sup>
        </m:sSubSup>
      </m:oMath>
      <w:r>
        <w:tab/>
        <w:t>(3)</w:t>
      </w:r>
    </w:p>
    <w:p w14:paraId="264A68F9" w14:textId="77777777" w:rsidR="000222BB" w:rsidRDefault="00BA1370">
      <w:pPr>
        <w:jc w:val="both"/>
      </w:pPr>
      <w:r>
        <w:t>the weights solve the sparse problem</w:t>
      </w:r>
    </w:p>
    <w:p w14:paraId="0FA9EA6F" w14:textId="77777777" w:rsidR="000222BB" w:rsidRDefault="00BA1370">
      <w:pPr>
        <w:tabs>
          <w:tab w:val="center" w:pos="2520"/>
          <w:tab w:val="right" w:pos="5040"/>
        </w:tabs>
        <w:spacing w:before="60" w:after="60"/>
      </w:pPr>
      <w:r>
        <w:tab/>
      </w: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W</m:t>
                </m:r>
                <m:r>
                  <w:rPr>
                    <w:rFonts w:ascii="Cambria Math" w:hAnsi="Cambria Math"/>
                  </w:rPr>
                  <m:t>,</m:t>
                </m:r>
                <m:r>
                  <w:rPr>
                    <w:rFonts w:ascii="Cambria Math" w:hAnsi="Cambria Math"/>
                  </w:rPr>
                  <m:t>A</m:t>
                </m:r>
              </m:lim>
            </m:limLow>
          </m:fName>
          <m:e>
            <m:r>
              <m:rPr>
                <m:scr m:val="script"/>
              </m:rPr>
              <w:rPr>
                <w:rFonts w:ascii="Cambria Math" w:hAnsi="Cambria Math"/>
              </w:rPr>
              <m:t>l(</m:t>
            </m:r>
            <m:r>
              <w:rPr>
                <w:rFonts w:ascii="Cambria Math" w:hAnsi="Cambria Math"/>
              </w:rPr>
              <m:t>W</m:t>
            </m:r>
            <m:r>
              <w:rPr>
                <w:rFonts w:ascii="Cambria Math" w:hAnsi="Cambria Math"/>
              </w:rPr>
              <m:t>,</m:t>
            </m:r>
            <m:r>
              <w:rPr>
                <w:rFonts w:ascii="Cambria Math" w:hAnsi="Cambria Math"/>
              </w:rPr>
              <m:t>A</m:t>
            </m:r>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W</m:t>
                </m:r>
              </m:sub>
            </m:sSub>
            <m: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A</m:t>
                </m:r>
              </m:sub>
            </m:sSub>
            <m: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1</m:t>
                </m:r>
              </m:sub>
            </m:sSub>
          </m:e>
        </m:func>
      </m:oMath>
      <w:r>
        <w:tab/>
        <w:t>(4)</w:t>
      </w:r>
    </w:p>
    <w:p w14:paraId="04934CDD" w14:textId="77777777" w:rsidR="000222BB" w:rsidRDefault="00BA1370">
      <w:pPr>
        <w:jc w:val="both"/>
      </w:pPr>
      <w:r>
        <w:t>subject to the smooth acyclicity constraint of NOTEARS [7]</w:t>
      </w:r>
    </w:p>
    <w:p w14:paraId="21F87807" w14:textId="77777777" w:rsidR="000222BB" w:rsidRDefault="00BA1370">
      <w:pPr>
        <w:tabs>
          <w:tab w:val="center" w:pos="2520"/>
          <w:tab w:val="right" w:pos="5040"/>
        </w:tabs>
        <w:spacing w:before="60" w:after="60"/>
      </w:pPr>
      <w:r>
        <w:tab/>
      </w:r>
      <m:oMath>
        <m:r>
          <w:rPr>
            <w:rFonts w:ascii="Cambria Math" w:hAnsi="Cambria Math"/>
          </w:rPr>
          <m:t>h</m:t>
        </m:r>
        <m:r>
          <w:rPr>
            <w:rFonts w:ascii="Cambria Math" w:hAnsi="Cambria Math"/>
          </w:rPr>
          <m:t>(</m:t>
        </m:r>
        <m:r>
          <w:rPr>
            <w:rFonts w:ascii="Cambria Math" w:hAnsi="Cambria Math"/>
          </w:rPr>
          <m:t>W</m:t>
        </m:r>
        <m:r>
          <w:rPr>
            <w:rFonts w:ascii="Cambria Math" w:hAnsi="Cambria Math"/>
          </w:rPr>
          <m:t xml:space="preserve">) = </m:t>
        </m:r>
        <m:func>
          <m:funcPr>
            <m:ctrlPr>
              <w:rPr>
                <w:rFonts w:ascii="Cambria Math" w:hAnsi="Cambria Math"/>
              </w:rPr>
            </m:ctrlPr>
          </m:funcPr>
          <m:fName>
            <m:r>
              <m:rPr>
                <m:sty m:val="p"/>
              </m:rPr>
              <w:rPr>
                <w:rFonts w:ascii="Cambria Math" w:hAnsi="Cambria Math"/>
              </w:rPr>
              <m:t>tr</m:t>
            </m:r>
          </m:fName>
          <m:e>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W</m:t>
                </m:r>
                <m:r>
                  <w:rPr>
                    <w:rFonts w:ascii="Cambria Math" w:hAnsi="Cambria Math"/>
                  </w:rPr>
                  <m:t>∘</m:t>
                </m:r>
                <m:r>
                  <w:rPr>
                    <w:rFonts w:ascii="Cambria Math" w:hAnsi="Cambria Math"/>
                  </w:rPr>
                  <m:t>W</m:t>
                </m:r>
              </m:sup>
            </m:sSup>
            <m:r>
              <w:rPr>
                <w:rFonts w:ascii="Cambria Math" w:hAnsi="Cambria Math"/>
              </w:rPr>
              <m:t>)</m:t>
            </m:r>
          </m:e>
        </m:func>
        <m:r>
          <w:rPr>
            <w:rFonts w:ascii="Cambria Math" w:hAnsi="Cambria Math"/>
          </w:rPr>
          <m:t xml:space="preserve"> - </m:t>
        </m:r>
        <m:r>
          <w:rPr>
            <w:rFonts w:ascii="Cambria Math" w:hAnsi="Cambria Math"/>
          </w:rPr>
          <m:t>d</m:t>
        </m:r>
        <m:r>
          <w:rPr>
            <w:rFonts w:ascii="Cambria Math" w:hAnsi="Cambria Math"/>
          </w:rPr>
          <m:t xml:space="preserve"> = 0</m:t>
        </m:r>
      </m:oMath>
      <w:r>
        <w:tab/>
        <w:t>(5)</w:t>
      </w:r>
    </w:p>
    <w:p w14:paraId="542171CB" w14:textId="77777777" w:rsidR="000222BB" w:rsidRDefault="00BA1370">
      <w:pPr>
        <w:jc w:val="both"/>
      </w:pPr>
      <w:r>
        <w:t xml:space="preserve">where ∘ is the element-wise product. The problem is solved by an augmented Lagrangian with L-BFGS-B on the positive and negative parts of the weights, implemented directly in NumPy [49] and SciPy [50]. Edges with </w:t>
      </w:r>
      <m:oMath>
        <m:r>
          <w:rPr>
            <w:rFonts w:ascii="Cambria Math" w:hAnsi="Cambria Math"/>
          </w:rPr>
          <m:t>|</m:t>
        </m:r>
        <m:r>
          <w:rPr>
            <w:rFonts w:ascii="Cambria Math" w:hAnsi="Cambria Math"/>
          </w:rPr>
          <m:t>w</m:t>
        </m:r>
        <m:r>
          <w:rPr>
            <w:rFonts w:ascii="Cambria Math" w:hAnsi="Cambria Math"/>
          </w:rPr>
          <m:t xml:space="preserve">| ≥ </m:t>
        </m:r>
        <m:r>
          <w:rPr>
            <w:rFonts w:ascii="Cambria Math" w:hAnsi="Cambria Math"/>
          </w:rPr>
          <m:t>τ</m:t>
        </m:r>
        <m:r>
          <w:rPr>
            <w:rFonts w:ascii="Cambria Math" w:hAnsi="Cambria Math"/>
          </w:rPr>
          <m:t xml:space="preserve"> = 0.15</m:t>
        </m:r>
      </m:oMath>
      <w:r>
        <w:t xml:space="preserve"> form the Causal Business Metric Graph (CBMG), with </w:t>
      </w:r>
      <m:oMath>
        <m:sSub>
          <m:sSubPr>
            <m:ctrlPr>
              <w:rPr>
                <w:rFonts w:ascii="Cambria Math" w:hAnsi="Cambria Math"/>
              </w:rPr>
            </m:ctrlPr>
          </m:sSubPr>
          <m:e>
            <m:r>
              <w:rPr>
                <w:rFonts w:ascii="Cambria Math" w:hAnsi="Cambria Math"/>
              </w:rPr>
              <m:t>λ</m:t>
            </m:r>
          </m:e>
          <m:sub>
            <m:r>
              <w:rPr>
                <w:rFonts w:ascii="Cambria Math" w:hAnsi="Cambria Math"/>
              </w:rPr>
              <m:t>W</m:t>
            </m:r>
          </m:sub>
        </m:sSub>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A</m:t>
            </m:r>
          </m:sub>
        </m:sSub>
        <m:r>
          <w:rPr>
            <w:rFonts w:ascii="Cambria Math" w:hAnsi="Cambria Math"/>
          </w:rPr>
          <m:t xml:space="preserve"> = 0.05</m:t>
        </m:r>
      </m:oMath>
      <w:r>
        <w:t>. Each edge receives a confidence equal to the fraction of block-bootstrap refits, on 75% windows, that keep it.</w:t>
      </w:r>
    </w:p>
    <w:p w14:paraId="22175D01" w14:textId="77777777" w:rsidR="000222BB" w:rsidRDefault="00BA1370">
      <w:pPr>
        <w:keepNext/>
        <w:spacing w:before="100" w:after="40"/>
      </w:pPr>
      <w:r>
        <w:rPr>
          <w:i/>
          <w:iCs/>
        </w:rPr>
        <w:t>C. Root-Cause Ranking</w:t>
      </w:r>
    </w:p>
    <w:p w14:paraId="7557A42F" w14:textId="77777777" w:rsidR="000222BB" w:rsidRDefault="00BA1370">
      <w:pPr>
        <w:ind w:firstLine="202"/>
        <w:jc w:val="both"/>
      </w:pPr>
      <w:r>
        <w:t xml:space="preserve">For every anomalous metric </w:t>
      </w:r>
      <m:oMath>
        <m:r>
          <w:rPr>
            <w:rFonts w:ascii="Cambria Math" w:hAnsi="Cambria Math"/>
          </w:rPr>
          <m:t>e</m:t>
        </m:r>
      </m:oMath>
      <w:r>
        <w:t xml:space="preserve">, each ancestor </w:t>
      </w:r>
      <m:oMath>
        <m:r>
          <w:rPr>
            <w:rFonts w:ascii="Cambria Math" w:hAnsi="Cambria Math"/>
          </w:rPr>
          <m:t>c</m:t>
        </m:r>
      </m:oMath>
      <w:r>
        <w:t xml:space="preserve"> in the CBMG is a candidate cause. The strongest path from </w:t>
      </w:r>
      <m:oMath>
        <m:r>
          <w:rPr>
            <w:rFonts w:ascii="Cambria Math" w:hAnsi="Cambria Math"/>
          </w:rPr>
          <m:t>c</m:t>
        </m:r>
      </m:oMath>
      <w:r>
        <w:t xml:space="preserve"> to </w:t>
      </w:r>
      <m:oMath>
        <m:r>
          <w:rPr>
            <w:rFonts w:ascii="Cambria Math" w:hAnsi="Cambria Math"/>
          </w:rPr>
          <m:t>e</m:t>
        </m:r>
      </m:oMath>
      <w:r>
        <w:t xml:space="preserve"> is found, and its strength </w:t>
      </w:r>
      <m:oMath>
        <m:r>
          <w:rPr>
            <w:rFonts w:ascii="Cambria Math" w:hAnsi="Cambria Math"/>
          </w:rPr>
          <m:t>S</m:t>
        </m:r>
      </m:oMath>
      <w:r>
        <w:t xml:space="preserve"> is the product of the edge weights along it. A candidate is </w:t>
      </w:r>
      <w:r>
        <w:rPr>
          <w:i/>
          <w:iCs/>
        </w:rPr>
        <w:t>temporally supported</w:t>
      </w:r>
      <w:r>
        <w:t xml:space="preserve"> if </w:t>
      </w:r>
      <m:oMath>
        <m:r>
          <w:rPr>
            <w:rFonts w:ascii="Cambria Math" w:hAnsi="Cambria Math"/>
          </w:rPr>
          <m:t>c</m:t>
        </m:r>
      </m:oMath>
      <w:r>
        <w:t xml:space="preserve"> itself was anomalous at most one path lag plus two steps before an anomaly of </w:t>
      </w:r>
      <m:oMath>
        <m:r>
          <w:rPr>
            <w:rFonts w:ascii="Cambria Math" w:hAnsi="Cambria Math"/>
          </w:rPr>
          <m:t>e</m:t>
        </m:r>
      </m:oMath>
      <w:r>
        <w:t>. The chain score is</w:t>
      </w:r>
    </w:p>
    <w:p w14:paraId="3E42A173" w14:textId="77777777" w:rsidR="000222BB" w:rsidRDefault="00BA1370">
      <w:pPr>
        <w:tabs>
          <w:tab w:val="center" w:pos="2520"/>
          <w:tab w:val="right" w:pos="5040"/>
        </w:tabs>
        <w:spacing w:before="60" w:after="60"/>
      </w:pPr>
      <w:r>
        <w:tab/>
      </w:r>
      <m:oMath>
        <m:r>
          <w:rPr>
            <w:rFonts w:ascii="Cambria Math" w:hAnsi="Cambria Math"/>
          </w:rPr>
          <m:t>R</m:t>
        </m:r>
        <m:r>
          <w:rPr>
            <w:rFonts w:ascii="Cambria Math" w:hAnsi="Cambria Math"/>
          </w:rPr>
          <m:t>(</m:t>
        </m:r>
        <m:r>
          <w:rPr>
            <w:rFonts w:ascii="Cambria Math" w:hAnsi="Cambria Math"/>
          </w:rPr>
          <m:t>c</m:t>
        </m:r>
        <m:r>
          <w:rPr>
            <w:rFonts w:ascii="Cambria Math" w:hAnsi="Cambria Math"/>
          </w:rPr>
          <m:t>,</m:t>
        </m:r>
        <m:r>
          <w:rPr>
            <w:rFonts w:ascii="Cambria Math" w:hAnsi="Cambria Math"/>
          </w:rPr>
          <m:t>e</m:t>
        </m:r>
        <m:r>
          <w:rPr>
            <w:rFonts w:ascii="Cambria Math" w:hAnsi="Cambria Math"/>
          </w:rPr>
          <m:t xml:space="preserve">) = </m:t>
        </m:r>
        <m:sSup>
          <m:sSupPr>
            <m:ctrlPr>
              <w:rPr>
                <w:rFonts w:ascii="Cambria Math" w:hAnsi="Cambria Math"/>
              </w:rPr>
            </m:ctrlPr>
          </m:sSupPr>
          <m:e>
            <m:r>
              <w:rPr>
                <w:rFonts w:ascii="Cambria Math" w:hAnsi="Cambria Math"/>
              </w:rPr>
              <m:t>S</m:t>
            </m:r>
          </m:e>
          <m:sup>
            <m:r>
              <w:rPr>
                <w:rFonts w:ascii="Cambria Math" w:hAnsi="Cambria Math"/>
              </w:rPr>
              <m:t>1/</m:t>
            </m:r>
            <m:r>
              <w:rPr>
                <w:rFonts w:ascii="Cambria Math" w:hAnsi="Cambria Math"/>
              </w:rPr>
              <m:t>k</m:t>
            </m:r>
          </m:sup>
        </m:sSup>
        <m:r>
          <w:rPr>
            <w:rFonts w:ascii="Cambria Math" w:hAnsi="Cambria Math"/>
          </w:rPr>
          <m:t xml:space="preserve"> · </m:t>
        </m:r>
        <m:r>
          <w:rPr>
            <w:rFonts w:ascii="Cambria Math" w:hAnsi="Cambria Math"/>
          </w:rPr>
          <m:t>κ</m:t>
        </m:r>
        <m:r>
          <w:rPr>
            <w:rFonts w:ascii="Cambria Math" w:hAnsi="Cambria Math"/>
          </w:rPr>
          <m:t xml:space="preserve"> · </m:t>
        </m:r>
        <m:r>
          <w:rPr>
            <w:rFonts w:ascii="Cambria Math" w:hAnsi="Cambria Math"/>
          </w:rPr>
          <m:t>α</m:t>
        </m:r>
        <m:r>
          <w:rPr>
            <w:rFonts w:ascii="Cambria Math" w:hAnsi="Cambria Math"/>
          </w:rPr>
          <m:t xml:space="preserve"> · </m:t>
        </m:r>
        <m:r>
          <w:rPr>
            <w:rFonts w:ascii="Cambria Math" w:hAnsi="Cambria Math"/>
          </w:rPr>
          <m:t>β</m:t>
        </m:r>
        <m:r>
          <w:rPr>
            <w:rFonts w:ascii="Cambria Math" w:hAnsi="Cambria Math"/>
          </w:rPr>
          <m:t xml:space="preserve"> · (1 + 0.05</m:t>
        </m:r>
        <m:r>
          <w:rPr>
            <w:rFonts w:ascii="Cambria Math" w:hAnsi="Cambria Math"/>
          </w:rPr>
          <m:t>k</m:t>
        </m:r>
        <m:r>
          <w:rPr>
            <w:rFonts w:ascii="Cambria Math" w:hAnsi="Cambria Math"/>
          </w:rPr>
          <m:t>)</m:t>
        </m:r>
      </m:oMath>
      <w:r>
        <w:tab/>
        <w:t>(6)</w:t>
      </w:r>
    </w:p>
    <w:p w14:paraId="1D3894B8" w14:textId="77777777" w:rsidR="000222BB" w:rsidRDefault="00BA1370">
      <w:pPr>
        <w:jc w:val="both"/>
      </w:pPr>
      <w:r>
        <w:t xml:space="preserve">where </w:t>
      </w:r>
      <m:oMath>
        <m:r>
          <w:rPr>
            <w:rFonts w:ascii="Cambria Math" w:hAnsi="Cambria Math"/>
          </w:rPr>
          <m:t>k</m:t>
        </m:r>
      </m:oMath>
      <w:r>
        <w:t xml:space="preserve"> is the path length, </w:t>
      </w:r>
      <m:oMath>
        <m:r>
          <w:rPr>
            <w:rFonts w:ascii="Cambria Math" w:hAnsi="Cambria Math"/>
          </w:rPr>
          <m:t>κ</m:t>
        </m:r>
      </m:oMath>
      <w:r>
        <w:t xml:space="preserve"> is the mean edge confidence, </w:t>
      </w:r>
      <m:oMath>
        <m:r>
          <w:rPr>
            <w:rFonts w:ascii="Cambria Math" w:hAnsi="Cambria Math"/>
          </w:rPr>
          <m:t>α</m:t>
        </m:r>
        <m:r>
          <w:rPr>
            <w:rFonts w:ascii="Cambria Math" w:hAnsi="Cambria Math"/>
          </w:rPr>
          <m:t xml:space="preserve"> = 1.5</m:t>
        </m:r>
      </m:oMath>
      <w:r>
        <w:t xml:space="preserve"> if the cause is temporally supported and 1 otherwise, and </w:t>
      </w:r>
      <m:oMath>
        <m:r>
          <w:rPr>
            <w:rFonts w:ascii="Cambria Math" w:hAnsi="Cambria Math"/>
          </w:rPr>
          <m:t>β</m:t>
        </m:r>
        <m:r>
          <w:rPr>
            <w:rFonts w:ascii="Cambria Math" w:hAnsi="Cambria Math"/>
          </w:rPr>
          <m:t xml:space="preserve"> = 2</m:t>
        </m:r>
      </m:oMath>
      <w:r>
        <w:t xml:space="preserve"> if the cause is an </w:t>
      </w:r>
      <w:r>
        <w:rPr>
          <w:i/>
          <w:iCs/>
        </w:rPr>
        <w:t>origin</w:t>
      </w:r>
      <w:r>
        <w:t xml:space="preserve">, that is, a supported cause with no anomalous, supported ancestor of its own, and 1 otherwise. The geometric mean </w:t>
      </w:r>
      <m:oMath>
        <m:sSup>
          <m:sSupPr>
            <m:ctrlPr>
              <w:rPr>
                <w:rFonts w:ascii="Cambria Math" w:hAnsi="Cambria Math"/>
              </w:rPr>
            </m:ctrlPr>
          </m:sSupPr>
          <m:e>
            <m:r>
              <w:rPr>
                <w:rFonts w:ascii="Cambria Math" w:hAnsi="Cambria Math"/>
              </w:rPr>
              <m:t>S</m:t>
            </m:r>
          </m:e>
          <m:sup>
            <m:r>
              <w:rPr>
                <w:rFonts w:ascii="Cambria Math" w:hAnsi="Cambria Math"/>
              </w:rPr>
              <m:t>1/</m:t>
            </m:r>
            <m:r>
              <w:rPr>
                <w:rFonts w:ascii="Cambria Math" w:hAnsi="Cambria Math"/>
              </w:rPr>
              <m:t>k</m:t>
            </m:r>
          </m:sup>
        </m:sSup>
      </m:oMath>
      <w:r>
        <w:t xml:space="preserve"> prevents long chains, which explain more of a cascade, from being penalised merely for their length. DoWhy [33] estimates a back-door adjusted effect for each direct edge.</w:t>
      </w:r>
    </w:p>
    <w:p w14:paraId="1EAE0574" w14:textId="77777777" w:rsidR="000222BB" w:rsidRDefault="00BA1370">
      <w:pPr>
        <w:keepNext/>
        <w:spacing w:before="100" w:after="40"/>
      </w:pPr>
      <w:r>
        <w:rPr>
          <w:i/>
          <w:iCs/>
        </w:rPr>
        <w:t>D. LLM-Modulo Report Verification</w:t>
      </w:r>
    </w:p>
    <w:p w14:paraId="1513E5DF" w14:textId="77777777" w:rsidR="000222BB" w:rsidRDefault="00BA1370">
      <w:pPr>
        <w:ind w:firstLine="202"/>
        <w:jc w:val="both"/>
      </w:pPr>
      <w:r>
        <w:t>The LLM receives only computed facts: values, expectations, percentage changes, severities and the ranked chains. Its draft is checked by a deterministic critic [14]. Every number in the text must equal a fact once the fact is rounded to the number of decimals written, so 3.97 may be written 3.97, 4.0 or 4, but never 3.78. Every snake_case identifier must be a known metric. A failing draft is returned once with the list of errors, and a second failure falls back to a template that is correct by construction</w:t>
      </w:r>
      <w:r>
        <w:t>.</w:t>
      </w:r>
    </w:p>
    <w:p w14:paraId="37664E5D" w14:textId="77777777" w:rsidR="000222BB" w:rsidRDefault="00BA1370">
      <w:pPr>
        <w:keepNext/>
        <w:spacing w:before="160" w:after="80"/>
        <w:jc w:val="center"/>
      </w:pPr>
      <w:r>
        <w:rPr>
          <w:smallCaps/>
        </w:rPr>
        <w:t>VI. Experimental Setup</w:t>
      </w:r>
    </w:p>
    <w:p w14:paraId="6AD92205" w14:textId="77777777" w:rsidR="000222BB" w:rsidRDefault="00BA1370">
      <w:pPr>
        <w:ind w:firstLine="202"/>
        <w:jc w:val="both"/>
      </w:pPr>
      <w:r>
        <w:t xml:space="preserve">Real business data with labelled root causes is not publicly available, so a benchmark with known structure was generated. It has 15 hourly metrics from four simulated sources over 336 hours, linked by 12 lagged causal edges in two chains. The marketing chain runs from advertising spend through click-through and conversion to orders and revenue; the operations chain runs from delivery delay through support tickets and response time to NPS and churn. Daily seasonality is added. Two incidents are injected in </w:t>
      </w:r>
      <w:r>
        <w:t>the last 24 hours, a three-hour collapse in advertising spend and a spike in delivery delay, plus six isolated anomalies of graded size. Every experiment is repeated over ten seeds.</w:t>
      </w:r>
    </w:p>
    <w:p w14:paraId="26FB0AA9" w14:textId="77777777" w:rsidR="000222BB" w:rsidRDefault="00BA1370">
      <w:pPr>
        <w:ind w:firstLine="202"/>
        <w:jc w:val="both"/>
      </w:pPr>
      <w:r>
        <w:t xml:space="preserve">Causal discovery is scored against the 12 true edges with precision, recall, F1 and structural Hamming distance (SHD). The baselines are lagged OLS (Granger) [22], VARLiNGAM [23] from causal-learn [32], and Pearson correlation with |r| ≥ 0.3. Origin localisation compares KAIROS with six strategies that receive the same detector output: the two metrics with the largest |z| (the top movers a dashboard shows), the two earliest anomalies, the KAIROS ranking applied to Granger, VARLiNGAM and correlation graphs, </w:t>
      </w:r>
      <w:r>
        <w:t>and KAIROS without bootstrap confidence. Detection is scored by event recall and point precision. The ingestion benchmark moves a raw export of 2,000,000 order rows (105.6 MB) over a 50 Mbit/s link per connection, emulated on one machine, with Fast Transfer using 8 streams and 4 MB chunks. All runs used a laptop, and every script is released with the system.</w:t>
      </w:r>
    </w:p>
    <w:p w14:paraId="07D4BE27" w14:textId="77777777" w:rsidR="000222BB" w:rsidRDefault="00BA1370">
      <w:pPr>
        <w:keepNext/>
        <w:spacing w:before="160" w:after="80"/>
        <w:jc w:val="center"/>
      </w:pPr>
      <w:r>
        <w:rPr>
          <w:smallCaps/>
        </w:rPr>
        <w:t>VII. Results</w:t>
      </w:r>
    </w:p>
    <w:p w14:paraId="078F9FF5" w14:textId="77777777" w:rsidR="000222BB" w:rsidRDefault="00BA1370">
      <w:pPr>
        <w:keepNext/>
        <w:spacing w:before="100" w:after="40"/>
      </w:pPr>
      <w:r>
        <w:rPr>
          <w:i/>
          <w:iCs/>
        </w:rPr>
        <w:t>A. Causal Discovery</w:t>
      </w:r>
    </w:p>
    <w:p w14:paraId="2BF83FEA" w14:textId="77777777" w:rsidR="000222BB" w:rsidRDefault="00BA1370">
      <w:pPr>
        <w:keepNext/>
        <w:spacing w:before="120"/>
        <w:jc w:val="center"/>
      </w:pPr>
      <w:r>
        <w:rPr>
          <w:sz w:val="16"/>
          <w:szCs w:val="16"/>
        </w:rPr>
        <w:t>TABLE II</w:t>
      </w:r>
    </w:p>
    <w:p w14:paraId="6DB8B98A" w14:textId="77777777" w:rsidR="000222BB" w:rsidRDefault="00BA1370">
      <w:pPr>
        <w:keepNext/>
        <w:spacing w:after="60"/>
        <w:jc w:val="center"/>
      </w:pPr>
      <w:r>
        <w:rPr>
          <w:smallCaps/>
          <w:sz w:val="16"/>
          <w:szCs w:val="16"/>
        </w:rPr>
        <w:t>Causal discovery over ten seeds (mean ± s.d.)</w:t>
      </w:r>
    </w:p>
    <w:tbl>
      <w:tblPr>
        <w:tblW w:w="5040" w:type="dxa"/>
        <w:jc w:val="center"/>
        <w:tblLook w:val="04A0" w:firstRow="1" w:lastRow="0" w:firstColumn="1" w:lastColumn="0" w:noHBand="0" w:noVBand="1"/>
      </w:tblPr>
      <w:tblGrid>
        <w:gridCol w:w="1250"/>
        <w:gridCol w:w="875"/>
        <w:gridCol w:w="875"/>
        <w:gridCol w:w="875"/>
        <w:gridCol w:w="417"/>
        <w:gridCol w:w="748"/>
      </w:tblGrid>
      <w:tr w:rsidR="000222BB" w14:paraId="01272A1C" w14:textId="77777777">
        <w:trPr>
          <w:cantSplit/>
          <w:tblHeader/>
          <w:jc w:val="center"/>
        </w:trPr>
        <w:tc>
          <w:tcPr>
            <w:tcW w:w="125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62B2D28D" w14:textId="77777777" w:rsidR="000222BB" w:rsidRDefault="00BA1370">
            <w:pPr>
              <w:keepNext/>
              <w:spacing w:line="220" w:lineRule="auto"/>
            </w:pPr>
            <w:r>
              <w:rPr>
                <w:b/>
                <w:bCs/>
                <w:sz w:val="15"/>
                <w:szCs w:val="15"/>
              </w:rPr>
              <w:t>Method</w:t>
            </w:r>
          </w:p>
        </w:tc>
        <w:tc>
          <w:tcPr>
            <w:tcW w:w="875"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014448F6" w14:textId="77777777" w:rsidR="000222BB" w:rsidRDefault="00BA1370">
            <w:pPr>
              <w:keepNext/>
              <w:spacing w:line="220" w:lineRule="auto"/>
              <w:jc w:val="center"/>
            </w:pPr>
            <w:r>
              <w:rPr>
                <w:b/>
                <w:bCs/>
                <w:sz w:val="15"/>
                <w:szCs w:val="15"/>
              </w:rPr>
              <w:t>Precision</w:t>
            </w:r>
          </w:p>
        </w:tc>
        <w:tc>
          <w:tcPr>
            <w:tcW w:w="875"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33AFC1C3" w14:textId="77777777" w:rsidR="000222BB" w:rsidRDefault="00BA1370">
            <w:pPr>
              <w:keepNext/>
              <w:spacing w:line="220" w:lineRule="auto"/>
              <w:jc w:val="center"/>
            </w:pPr>
            <w:r>
              <w:rPr>
                <w:b/>
                <w:bCs/>
                <w:sz w:val="15"/>
                <w:szCs w:val="15"/>
              </w:rPr>
              <w:t>Recall</w:t>
            </w:r>
          </w:p>
        </w:tc>
        <w:tc>
          <w:tcPr>
            <w:tcW w:w="875"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78A918C0" w14:textId="77777777" w:rsidR="000222BB" w:rsidRDefault="00BA1370">
            <w:pPr>
              <w:keepNext/>
              <w:spacing w:line="220" w:lineRule="auto"/>
              <w:jc w:val="center"/>
            </w:pPr>
            <w:r>
              <w:rPr>
                <w:b/>
                <w:bCs/>
                <w:sz w:val="15"/>
                <w:szCs w:val="15"/>
              </w:rPr>
              <w:t>F1</w:t>
            </w:r>
          </w:p>
        </w:tc>
        <w:tc>
          <w:tcPr>
            <w:tcW w:w="417"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0A276AF6" w14:textId="77777777" w:rsidR="000222BB" w:rsidRDefault="00BA1370">
            <w:pPr>
              <w:keepNext/>
              <w:spacing w:line="220" w:lineRule="auto"/>
              <w:jc w:val="center"/>
            </w:pPr>
            <w:r>
              <w:rPr>
                <w:b/>
                <w:bCs/>
                <w:sz w:val="15"/>
                <w:szCs w:val="15"/>
              </w:rPr>
              <w:t>SHD</w:t>
            </w:r>
          </w:p>
        </w:tc>
        <w:tc>
          <w:tcPr>
            <w:tcW w:w="748"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253F1C23" w14:textId="77777777" w:rsidR="000222BB" w:rsidRDefault="00BA1370">
            <w:pPr>
              <w:keepNext/>
              <w:spacing w:line="220" w:lineRule="auto"/>
              <w:jc w:val="center"/>
            </w:pPr>
            <w:r>
              <w:rPr>
                <w:b/>
                <w:bCs/>
                <w:sz w:val="15"/>
                <w:szCs w:val="15"/>
              </w:rPr>
              <w:t>F1 gain of KAIROS</w:t>
            </w:r>
          </w:p>
        </w:tc>
      </w:tr>
      <w:tr w:rsidR="000222BB" w14:paraId="0AD3E4BC" w14:textId="77777777">
        <w:trPr>
          <w:cantSplit/>
          <w:jc w:val="center"/>
        </w:trPr>
        <w:tc>
          <w:tcPr>
            <w:tcW w:w="1250" w:type="dxa"/>
            <w:tcBorders>
              <w:top w:val="none" w:sz="0" w:space="0" w:color="FFFFFF"/>
              <w:left w:val="none" w:sz="0" w:space="0" w:color="FFFFFF"/>
              <w:bottom w:val="none" w:sz="0" w:space="0" w:color="FFFFFF"/>
              <w:right w:val="none" w:sz="0" w:space="0" w:color="FFFFFF"/>
            </w:tcBorders>
            <w:shd w:val="clear" w:color="auto" w:fill="E8E8E8"/>
            <w:tcMar>
              <w:top w:w="20" w:type="dxa"/>
              <w:left w:w="50" w:type="dxa"/>
              <w:bottom w:w="20" w:type="dxa"/>
              <w:right w:w="50" w:type="dxa"/>
            </w:tcMar>
          </w:tcPr>
          <w:p w14:paraId="56871AE9" w14:textId="77777777" w:rsidR="000222BB" w:rsidRDefault="00BA1370">
            <w:pPr>
              <w:keepNext/>
              <w:spacing w:line="220" w:lineRule="auto"/>
            </w:pPr>
            <w:r>
              <w:rPr>
                <w:b/>
                <w:bCs/>
                <w:sz w:val="15"/>
                <w:szCs w:val="15"/>
              </w:rPr>
              <w:t>KAIROS (DYNOTEARS)</w:t>
            </w:r>
          </w:p>
        </w:tc>
        <w:tc>
          <w:tcPr>
            <w:tcW w:w="875" w:type="dxa"/>
            <w:tcBorders>
              <w:top w:val="none" w:sz="0" w:space="0" w:color="FFFFFF"/>
              <w:left w:val="none" w:sz="0" w:space="0" w:color="FFFFFF"/>
              <w:bottom w:val="none" w:sz="0" w:space="0" w:color="FFFFFF"/>
              <w:right w:val="none" w:sz="0" w:space="0" w:color="FFFFFF"/>
            </w:tcBorders>
            <w:shd w:val="clear" w:color="auto" w:fill="E8E8E8"/>
            <w:tcMar>
              <w:top w:w="20" w:type="dxa"/>
              <w:left w:w="50" w:type="dxa"/>
              <w:bottom w:w="20" w:type="dxa"/>
              <w:right w:w="50" w:type="dxa"/>
            </w:tcMar>
          </w:tcPr>
          <w:p w14:paraId="182032F7" w14:textId="77777777" w:rsidR="000222BB" w:rsidRDefault="00BA1370">
            <w:pPr>
              <w:keepNext/>
              <w:spacing w:line="220" w:lineRule="auto"/>
              <w:jc w:val="center"/>
            </w:pPr>
            <w:r>
              <w:rPr>
                <w:b/>
                <w:bCs/>
                <w:sz w:val="15"/>
                <w:szCs w:val="15"/>
              </w:rPr>
              <w:t>1.000 ± 0.000</w:t>
            </w:r>
          </w:p>
        </w:tc>
        <w:tc>
          <w:tcPr>
            <w:tcW w:w="875" w:type="dxa"/>
            <w:tcBorders>
              <w:top w:val="none" w:sz="0" w:space="0" w:color="FFFFFF"/>
              <w:left w:val="none" w:sz="0" w:space="0" w:color="FFFFFF"/>
              <w:bottom w:val="none" w:sz="0" w:space="0" w:color="FFFFFF"/>
              <w:right w:val="none" w:sz="0" w:space="0" w:color="FFFFFF"/>
            </w:tcBorders>
            <w:shd w:val="clear" w:color="auto" w:fill="E8E8E8"/>
            <w:tcMar>
              <w:top w:w="20" w:type="dxa"/>
              <w:left w:w="50" w:type="dxa"/>
              <w:bottom w:w="20" w:type="dxa"/>
              <w:right w:w="50" w:type="dxa"/>
            </w:tcMar>
          </w:tcPr>
          <w:p w14:paraId="264FF643" w14:textId="77777777" w:rsidR="000222BB" w:rsidRDefault="00BA1370">
            <w:pPr>
              <w:keepNext/>
              <w:spacing w:line="220" w:lineRule="auto"/>
              <w:jc w:val="center"/>
            </w:pPr>
            <w:r>
              <w:rPr>
                <w:sz w:val="15"/>
                <w:szCs w:val="15"/>
              </w:rPr>
              <w:t>0.950 ± 0.041</w:t>
            </w:r>
          </w:p>
        </w:tc>
        <w:tc>
          <w:tcPr>
            <w:tcW w:w="875" w:type="dxa"/>
            <w:tcBorders>
              <w:top w:val="none" w:sz="0" w:space="0" w:color="FFFFFF"/>
              <w:left w:val="none" w:sz="0" w:space="0" w:color="FFFFFF"/>
              <w:bottom w:val="none" w:sz="0" w:space="0" w:color="FFFFFF"/>
              <w:right w:val="none" w:sz="0" w:space="0" w:color="FFFFFF"/>
            </w:tcBorders>
            <w:shd w:val="clear" w:color="auto" w:fill="E8E8E8"/>
            <w:tcMar>
              <w:top w:w="20" w:type="dxa"/>
              <w:left w:w="50" w:type="dxa"/>
              <w:bottom w:w="20" w:type="dxa"/>
              <w:right w:w="50" w:type="dxa"/>
            </w:tcMar>
          </w:tcPr>
          <w:p w14:paraId="64A73B95" w14:textId="77777777" w:rsidR="000222BB" w:rsidRDefault="00BA1370">
            <w:pPr>
              <w:keepNext/>
              <w:spacing w:line="220" w:lineRule="auto"/>
              <w:jc w:val="center"/>
            </w:pPr>
            <w:r>
              <w:rPr>
                <w:b/>
                <w:bCs/>
                <w:sz w:val="15"/>
                <w:szCs w:val="15"/>
              </w:rPr>
              <w:t>0.974 ± 0.021</w:t>
            </w:r>
          </w:p>
        </w:tc>
        <w:tc>
          <w:tcPr>
            <w:tcW w:w="417" w:type="dxa"/>
            <w:tcBorders>
              <w:top w:val="none" w:sz="0" w:space="0" w:color="FFFFFF"/>
              <w:left w:val="none" w:sz="0" w:space="0" w:color="FFFFFF"/>
              <w:bottom w:val="none" w:sz="0" w:space="0" w:color="FFFFFF"/>
              <w:right w:val="none" w:sz="0" w:space="0" w:color="FFFFFF"/>
            </w:tcBorders>
            <w:shd w:val="clear" w:color="auto" w:fill="E8E8E8"/>
            <w:tcMar>
              <w:top w:w="20" w:type="dxa"/>
              <w:left w:w="50" w:type="dxa"/>
              <w:bottom w:w="20" w:type="dxa"/>
              <w:right w:w="50" w:type="dxa"/>
            </w:tcMar>
          </w:tcPr>
          <w:p w14:paraId="7EA5BBC3" w14:textId="77777777" w:rsidR="000222BB" w:rsidRDefault="00BA1370">
            <w:pPr>
              <w:keepNext/>
              <w:spacing w:line="220" w:lineRule="auto"/>
              <w:jc w:val="center"/>
            </w:pPr>
            <w:r>
              <w:rPr>
                <w:b/>
                <w:bCs/>
                <w:sz w:val="15"/>
                <w:szCs w:val="15"/>
              </w:rPr>
              <w:t>0.6</w:t>
            </w:r>
          </w:p>
        </w:tc>
        <w:tc>
          <w:tcPr>
            <w:tcW w:w="748" w:type="dxa"/>
            <w:tcBorders>
              <w:top w:val="none" w:sz="0" w:space="0" w:color="FFFFFF"/>
              <w:left w:val="none" w:sz="0" w:space="0" w:color="FFFFFF"/>
              <w:bottom w:val="none" w:sz="0" w:space="0" w:color="FFFFFF"/>
              <w:right w:val="none" w:sz="0" w:space="0" w:color="FFFFFF"/>
            </w:tcBorders>
            <w:shd w:val="clear" w:color="auto" w:fill="E8E8E8"/>
            <w:tcMar>
              <w:top w:w="20" w:type="dxa"/>
              <w:left w:w="50" w:type="dxa"/>
              <w:bottom w:w="20" w:type="dxa"/>
              <w:right w:w="50" w:type="dxa"/>
            </w:tcMar>
          </w:tcPr>
          <w:p w14:paraId="3721129D" w14:textId="77777777" w:rsidR="000222BB" w:rsidRDefault="00BA1370">
            <w:pPr>
              <w:keepNext/>
              <w:spacing w:line="220" w:lineRule="auto"/>
              <w:jc w:val="center"/>
            </w:pPr>
            <w:r>
              <w:rPr>
                <w:rFonts w:ascii="Segoe UI Symbol" w:eastAsia="Segoe UI Symbol" w:hAnsi="Segoe UI Symbol" w:cs="Segoe UI Symbol"/>
                <w:sz w:val="15"/>
                <w:szCs w:val="15"/>
              </w:rPr>
              <w:t>—</w:t>
            </w:r>
          </w:p>
        </w:tc>
      </w:tr>
      <w:tr w:rsidR="000222BB" w14:paraId="6E690574" w14:textId="77777777">
        <w:trPr>
          <w:cantSplit/>
          <w:jc w:val="center"/>
        </w:trPr>
        <w:tc>
          <w:tcPr>
            <w:tcW w:w="12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DFAAFA6" w14:textId="77777777" w:rsidR="000222BB" w:rsidRDefault="00BA1370">
            <w:pPr>
              <w:keepNext/>
              <w:spacing w:line="220" w:lineRule="auto"/>
            </w:pPr>
            <w:r>
              <w:rPr>
                <w:sz w:val="15"/>
                <w:szCs w:val="15"/>
              </w:rPr>
              <w:t>Granger [22]</w:t>
            </w:r>
          </w:p>
        </w:tc>
        <w:tc>
          <w:tcPr>
            <w:tcW w:w="875"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5316BB8" w14:textId="77777777" w:rsidR="000222BB" w:rsidRDefault="00BA1370">
            <w:pPr>
              <w:keepNext/>
              <w:spacing w:line="220" w:lineRule="auto"/>
              <w:jc w:val="center"/>
            </w:pPr>
            <w:r>
              <w:rPr>
                <w:sz w:val="15"/>
                <w:szCs w:val="15"/>
              </w:rPr>
              <w:t>0.835 ± 0.128</w:t>
            </w:r>
          </w:p>
        </w:tc>
        <w:tc>
          <w:tcPr>
            <w:tcW w:w="875"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3FE216D" w14:textId="77777777" w:rsidR="000222BB" w:rsidRDefault="00BA1370">
            <w:pPr>
              <w:keepNext/>
              <w:spacing w:line="220" w:lineRule="auto"/>
              <w:jc w:val="center"/>
            </w:pPr>
            <w:r>
              <w:rPr>
                <w:sz w:val="15"/>
                <w:szCs w:val="15"/>
              </w:rPr>
              <w:t>0.992 ± 0.025</w:t>
            </w:r>
          </w:p>
        </w:tc>
        <w:tc>
          <w:tcPr>
            <w:tcW w:w="875"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755132F" w14:textId="77777777" w:rsidR="000222BB" w:rsidRDefault="00BA1370">
            <w:pPr>
              <w:keepNext/>
              <w:spacing w:line="220" w:lineRule="auto"/>
              <w:jc w:val="center"/>
            </w:pPr>
            <w:r>
              <w:rPr>
                <w:sz w:val="15"/>
                <w:szCs w:val="15"/>
              </w:rPr>
              <w:t>0.901 ± 0.082</w:t>
            </w:r>
          </w:p>
        </w:tc>
        <w:tc>
          <w:tcPr>
            <w:tcW w:w="417"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5CDE1F1" w14:textId="77777777" w:rsidR="000222BB" w:rsidRDefault="00BA1370">
            <w:pPr>
              <w:keepNext/>
              <w:spacing w:line="220" w:lineRule="auto"/>
              <w:jc w:val="center"/>
            </w:pPr>
            <w:r>
              <w:rPr>
                <w:sz w:val="15"/>
                <w:szCs w:val="15"/>
              </w:rPr>
              <w:t>2.8</w:t>
            </w:r>
          </w:p>
        </w:tc>
        <w:tc>
          <w:tcPr>
            <w:tcW w:w="748"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0661BBA9" w14:textId="77777777" w:rsidR="000222BB" w:rsidRDefault="00BA1370">
            <w:pPr>
              <w:keepNext/>
              <w:spacing w:line="220" w:lineRule="auto"/>
              <w:jc w:val="center"/>
            </w:pPr>
            <w:r>
              <w:rPr>
                <w:sz w:val="15"/>
                <w:szCs w:val="15"/>
              </w:rPr>
              <w:t>+8.1%</w:t>
            </w:r>
          </w:p>
        </w:tc>
      </w:tr>
      <w:tr w:rsidR="000222BB" w14:paraId="00752F85" w14:textId="77777777">
        <w:trPr>
          <w:cantSplit/>
          <w:jc w:val="center"/>
        </w:trPr>
        <w:tc>
          <w:tcPr>
            <w:tcW w:w="12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E0322C9" w14:textId="77777777" w:rsidR="000222BB" w:rsidRDefault="00BA1370">
            <w:pPr>
              <w:keepNext/>
              <w:spacing w:line="220" w:lineRule="auto"/>
            </w:pPr>
            <w:r>
              <w:rPr>
                <w:sz w:val="15"/>
                <w:szCs w:val="15"/>
              </w:rPr>
              <w:t>VARLiNGAM [23]</w:t>
            </w:r>
          </w:p>
        </w:tc>
        <w:tc>
          <w:tcPr>
            <w:tcW w:w="875"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95A455F" w14:textId="77777777" w:rsidR="000222BB" w:rsidRDefault="00BA1370">
            <w:pPr>
              <w:keepNext/>
              <w:spacing w:line="220" w:lineRule="auto"/>
              <w:jc w:val="center"/>
            </w:pPr>
            <w:r>
              <w:rPr>
                <w:sz w:val="15"/>
                <w:szCs w:val="15"/>
              </w:rPr>
              <w:t>0.778 ± 0.113</w:t>
            </w:r>
          </w:p>
        </w:tc>
        <w:tc>
          <w:tcPr>
            <w:tcW w:w="875"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7242ADF" w14:textId="77777777" w:rsidR="000222BB" w:rsidRDefault="00BA1370">
            <w:pPr>
              <w:keepNext/>
              <w:spacing w:line="220" w:lineRule="auto"/>
              <w:jc w:val="center"/>
            </w:pPr>
            <w:r>
              <w:rPr>
                <w:sz w:val="15"/>
                <w:szCs w:val="15"/>
              </w:rPr>
              <w:t>0.992 ± 0.025</w:t>
            </w:r>
          </w:p>
        </w:tc>
        <w:tc>
          <w:tcPr>
            <w:tcW w:w="875"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18D934A" w14:textId="77777777" w:rsidR="000222BB" w:rsidRDefault="00BA1370">
            <w:pPr>
              <w:keepNext/>
              <w:spacing w:line="220" w:lineRule="auto"/>
              <w:jc w:val="center"/>
            </w:pPr>
            <w:r>
              <w:rPr>
                <w:sz w:val="15"/>
                <w:szCs w:val="15"/>
              </w:rPr>
              <w:t>0.868 ± 0.077</w:t>
            </w:r>
          </w:p>
        </w:tc>
        <w:tc>
          <w:tcPr>
            <w:tcW w:w="417"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F585566" w14:textId="77777777" w:rsidR="000222BB" w:rsidRDefault="00BA1370">
            <w:pPr>
              <w:keepNext/>
              <w:spacing w:line="220" w:lineRule="auto"/>
              <w:jc w:val="center"/>
            </w:pPr>
            <w:r>
              <w:rPr>
                <w:sz w:val="15"/>
                <w:szCs w:val="15"/>
              </w:rPr>
              <w:t>3.7</w:t>
            </w:r>
          </w:p>
        </w:tc>
        <w:tc>
          <w:tcPr>
            <w:tcW w:w="748"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AD109E3" w14:textId="77777777" w:rsidR="000222BB" w:rsidRDefault="00BA1370">
            <w:pPr>
              <w:keepNext/>
              <w:spacing w:line="220" w:lineRule="auto"/>
              <w:jc w:val="center"/>
            </w:pPr>
            <w:r>
              <w:rPr>
                <w:sz w:val="15"/>
                <w:szCs w:val="15"/>
              </w:rPr>
              <w:t>+12.2%</w:t>
            </w:r>
          </w:p>
        </w:tc>
      </w:tr>
      <w:tr w:rsidR="000222BB" w14:paraId="34838A83" w14:textId="77777777">
        <w:trPr>
          <w:cantSplit/>
          <w:jc w:val="center"/>
        </w:trPr>
        <w:tc>
          <w:tcPr>
            <w:tcW w:w="125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2AACC3EE" w14:textId="77777777" w:rsidR="000222BB" w:rsidRDefault="00BA1370">
            <w:pPr>
              <w:spacing w:line="220" w:lineRule="auto"/>
            </w:pPr>
            <w:r>
              <w:rPr>
                <w:sz w:val="15"/>
                <w:szCs w:val="15"/>
              </w:rPr>
              <w:t>Correlation</w:t>
            </w:r>
          </w:p>
        </w:tc>
        <w:tc>
          <w:tcPr>
            <w:tcW w:w="875"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40E5474C" w14:textId="77777777" w:rsidR="000222BB" w:rsidRDefault="00BA1370">
            <w:pPr>
              <w:spacing w:line="220" w:lineRule="auto"/>
              <w:jc w:val="center"/>
            </w:pPr>
            <w:r>
              <w:rPr>
                <w:sz w:val="15"/>
                <w:szCs w:val="15"/>
              </w:rPr>
              <w:t>0.437 ± 0.007</w:t>
            </w:r>
          </w:p>
        </w:tc>
        <w:tc>
          <w:tcPr>
            <w:tcW w:w="875"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36ECF8AD" w14:textId="77777777" w:rsidR="000222BB" w:rsidRDefault="00BA1370">
            <w:pPr>
              <w:spacing w:line="220" w:lineRule="auto"/>
              <w:jc w:val="center"/>
            </w:pPr>
            <w:r>
              <w:rPr>
                <w:sz w:val="15"/>
                <w:szCs w:val="15"/>
              </w:rPr>
              <w:t>0.583 ± 0.075</w:t>
            </w:r>
          </w:p>
        </w:tc>
        <w:tc>
          <w:tcPr>
            <w:tcW w:w="875"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3C0CE0B6" w14:textId="77777777" w:rsidR="000222BB" w:rsidRDefault="00BA1370">
            <w:pPr>
              <w:spacing w:line="220" w:lineRule="auto"/>
              <w:jc w:val="center"/>
            </w:pPr>
            <w:r>
              <w:rPr>
                <w:sz w:val="15"/>
                <w:szCs w:val="15"/>
              </w:rPr>
              <w:t>0.498 ± 0.031</w:t>
            </w:r>
          </w:p>
        </w:tc>
        <w:tc>
          <w:tcPr>
            <w:tcW w:w="417"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5515741E" w14:textId="77777777" w:rsidR="000222BB" w:rsidRDefault="00BA1370">
            <w:pPr>
              <w:spacing w:line="220" w:lineRule="auto"/>
              <w:jc w:val="center"/>
            </w:pPr>
            <w:r>
              <w:rPr>
                <w:sz w:val="15"/>
                <w:szCs w:val="15"/>
              </w:rPr>
              <w:t>7.0</w:t>
            </w:r>
          </w:p>
        </w:tc>
        <w:tc>
          <w:tcPr>
            <w:tcW w:w="748"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3314801C" w14:textId="77777777" w:rsidR="000222BB" w:rsidRDefault="00BA1370">
            <w:pPr>
              <w:spacing w:line="220" w:lineRule="auto"/>
              <w:jc w:val="center"/>
            </w:pPr>
            <w:r>
              <w:rPr>
                <w:sz w:val="15"/>
                <w:szCs w:val="15"/>
              </w:rPr>
              <w:t>+95.6%</w:t>
            </w:r>
          </w:p>
        </w:tc>
      </w:tr>
    </w:tbl>
    <w:p w14:paraId="3565A359" w14:textId="77777777" w:rsidR="000222BB" w:rsidRDefault="000222BB">
      <w:pPr>
        <w:spacing w:after="100"/>
      </w:pPr>
    </w:p>
    <w:p w14:paraId="17386C6B" w14:textId="77777777" w:rsidR="000222BB" w:rsidRDefault="00BA1370">
      <w:pPr>
        <w:ind w:firstLine="202"/>
        <w:jc w:val="both"/>
      </w:pPr>
      <w:r>
        <w:t>Table II shows that DYNOTEARS added no false edge in any of the ten runs, a precision of 1.000 against 0.835 for Granger and 0.778 for VARLiNGAM. Its F1 score is 8.1%, 12.2% and 95.6% higher than the three baselines, and its structural Hamming distance of 0.6 is 78.6%, 83.8% and 91.4% lower. Its occasional miss was the weakest true link, from average order value to revenue. Granger regression and VARLiNGAM found nearly every true edge but also linked metrics that share a driver, and correlation, which has n</w:t>
      </w:r>
      <w:r>
        <w:t>o direction, was worst. The acyclicity constraint and the joint fit of same-step and lagged weights are what remove these spurious edges.</w:t>
      </w:r>
    </w:p>
    <w:p w14:paraId="6AA40B9A" w14:textId="77777777" w:rsidR="000222BB" w:rsidRDefault="00BA1370">
      <w:pPr>
        <w:keepNext/>
        <w:spacing w:before="100" w:after="40"/>
      </w:pPr>
      <w:r>
        <w:rPr>
          <w:i/>
          <w:iCs/>
        </w:rPr>
        <w:t>B. Origin Localisation</w:t>
      </w:r>
    </w:p>
    <w:p w14:paraId="325DFEC5" w14:textId="77777777" w:rsidR="000222BB" w:rsidRDefault="00BA1370">
      <w:pPr>
        <w:keepNext/>
        <w:spacing w:before="120"/>
        <w:jc w:val="center"/>
      </w:pPr>
      <w:r>
        <w:rPr>
          <w:sz w:val="16"/>
          <w:szCs w:val="16"/>
        </w:rPr>
        <w:t>TABLE III</w:t>
      </w:r>
    </w:p>
    <w:p w14:paraId="5B038DA7" w14:textId="77777777" w:rsidR="000222BB" w:rsidRDefault="00BA1370">
      <w:pPr>
        <w:keepNext/>
        <w:spacing w:after="60"/>
        <w:jc w:val="center"/>
      </w:pPr>
      <w:r>
        <w:rPr>
          <w:smallCaps/>
          <w:sz w:val="16"/>
          <w:szCs w:val="16"/>
        </w:rPr>
        <w:t>Incident origin localisation over ten seeds</w:t>
      </w:r>
    </w:p>
    <w:tbl>
      <w:tblPr>
        <w:tblW w:w="5040" w:type="dxa"/>
        <w:jc w:val="center"/>
        <w:tblLook w:val="04A0" w:firstRow="1" w:lastRow="0" w:firstColumn="1" w:lastColumn="0" w:noHBand="0" w:noVBand="1"/>
      </w:tblPr>
      <w:tblGrid>
        <w:gridCol w:w="2174"/>
        <w:gridCol w:w="889"/>
        <w:gridCol w:w="889"/>
        <w:gridCol w:w="1088"/>
      </w:tblGrid>
      <w:tr w:rsidR="000222BB" w14:paraId="7B439CF1" w14:textId="77777777">
        <w:trPr>
          <w:cantSplit/>
          <w:tblHeader/>
          <w:jc w:val="center"/>
        </w:trPr>
        <w:tc>
          <w:tcPr>
            <w:tcW w:w="2174"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325E2173" w14:textId="77777777" w:rsidR="000222BB" w:rsidRDefault="00BA1370">
            <w:pPr>
              <w:keepNext/>
              <w:spacing w:line="220" w:lineRule="auto"/>
            </w:pPr>
            <w:r>
              <w:rPr>
                <w:b/>
                <w:bCs/>
                <w:sz w:val="15"/>
                <w:szCs w:val="15"/>
              </w:rPr>
              <w:t>Strategy</w:t>
            </w:r>
          </w:p>
        </w:tc>
        <w:tc>
          <w:tcPr>
            <w:tcW w:w="889"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60361430" w14:textId="77777777" w:rsidR="000222BB" w:rsidRDefault="00BA1370">
            <w:pPr>
              <w:keepNext/>
              <w:spacing w:line="220" w:lineRule="auto"/>
              <w:jc w:val="center"/>
            </w:pPr>
            <w:r>
              <w:rPr>
                <w:b/>
                <w:bCs/>
                <w:sz w:val="15"/>
                <w:szCs w:val="15"/>
              </w:rPr>
              <w:t>Exact origins</w:t>
            </w:r>
          </w:p>
        </w:tc>
        <w:tc>
          <w:tcPr>
            <w:tcW w:w="889"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15B1665B" w14:textId="77777777" w:rsidR="000222BB" w:rsidRDefault="00BA1370">
            <w:pPr>
              <w:keepNext/>
              <w:spacing w:line="220" w:lineRule="auto"/>
              <w:jc w:val="center"/>
            </w:pPr>
            <w:r>
              <w:rPr>
                <w:b/>
                <w:bCs/>
                <w:sz w:val="15"/>
                <w:szCs w:val="15"/>
              </w:rPr>
              <w:t>Origin F1</w:t>
            </w:r>
          </w:p>
        </w:tc>
        <w:tc>
          <w:tcPr>
            <w:tcW w:w="1088"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51B080A2" w14:textId="77777777" w:rsidR="000222BB" w:rsidRDefault="00BA1370">
            <w:pPr>
              <w:keepNext/>
              <w:spacing w:line="220" w:lineRule="auto"/>
              <w:jc w:val="center"/>
            </w:pPr>
            <w:r>
              <w:rPr>
                <w:b/>
                <w:bCs/>
                <w:sz w:val="15"/>
                <w:szCs w:val="15"/>
              </w:rPr>
              <w:t>Top-5 chain precision</w:t>
            </w:r>
          </w:p>
        </w:tc>
      </w:tr>
      <w:tr w:rsidR="000222BB" w14:paraId="18950D70" w14:textId="77777777">
        <w:trPr>
          <w:cantSplit/>
          <w:jc w:val="center"/>
        </w:trPr>
        <w:tc>
          <w:tcPr>
            <w:tcW w:w="2174"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BE8BE70" w14:textId="77777777" w:rsidR="000222BB" w:rsidRDefault="00BA1370">
            <w:pPr>
              <w:keepNext/>
              <w:spacing w:line="220" w:lineRule="auto"/>
            </w:pPr>
            <w:r>
              <w:rPr>
                <w:sz w:val="15"/>
                <w:szCs w:val="15"/>
              </w:rPr>
              <w:t>Largest deviation (top movers)</w:t>
            </w:r>
          </w:p>
        </w:tc>
        <w:tc>
          <w:tcPr>
            <w:tcW w:w="88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ADEB650" w14:textId="77777777" w:rsidR="000222BB" w:rsidRDefault="00BA1370">
            <w:pPr>
              <w:keepNext/>
              <w:spacing w:line="220" w:lineRule="auto"/>
              <w:jc w:val="center"/>
            </w:pPr>
            <w:r>
              <w:rPr>
                <w:sz w:val="15"/>
                <w:szCs w:val="15"/>
              </w:rPr>
              <w:t>70%</w:t>
            </w:r>
          </w:p>
        </w:tc>
        <w:tc>
          <w:tcPr>
            <w:tcW w:w="88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D04FCFF" w14:textId="77777777" w:rsidR="000222BB" w:rsidRDefault="00BA1370">
            <w:pPr>
              <w:keepNext/>
              <w:spacing w:line="220" w:lineRule="auto"/>
              <w:jc w:val="center"/>
            </w:pPr>
            <w:r>
              <w:rPr>
                <w:sz w:val="15"/>
                <w:szCs w:val="15"/>
              </w:rPr>
              <w:t>85.0%</w:t>
            </w:r>
          </w:p>
        </w:tc>
        <w:tc>
          <w:tcPr>
            <w:tcW w:w="1088"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36A85A0" w14:textId="77777777" w:rsidR="000222BB" w:rsidRDefault="00BA1370">
            <w:pPr>
              <w:keepNext/>
              <w:spacing w:line="220" w:lineRule="auto"/>
              <w:jc w:val="center"/>
            </w:pPr>
            <w:r>
              <w:rPr>
                <w:rFonts w:ascii="Segoe UI Symbol" w:eastAsia="Segoe UI Symbol" w:hAnsi="Segoe UI Symbol" w:cs="Segoe UI Symbol"/>
                <w:sz w:val="15"/>
                <w:szCs w:val="15"/>
              </w:rPr>
              <w:t>—</w:t>
            </w:r>
          </w:p>
        </w:tc>
      </w:tr>
      <w:tr w:rsidR="000222BB" w14:paraId="3008810D" w14:textId="77777777">
        <w:trPr>
          <w:cantSplit/>
          <w:jc w:val="center"/>
        </w:trPr>
        <w:tc>
          <w:tcPr>
            <w:tcW w:w="2174"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9315203" w14:textId="77777777" w:rsidR="000222BB" w:rsidRDefault="00BA1370">
            <w:pPr>
              <w:keepNext/>
              <w:spacing w:line="220" w:lineRule="auto"/>
            </w:pPr>
            <w:r>
              <w:rPr>
                <w:sz w:val="15"/>
                <w:szCs w:val="15"/>
              </w:rPr>
              <w:t>Earliest anomaly</w:t>
            </w:r>
          </w:p>
        </w:tc>
        <w:tc>
          <w:tcPr>
            <w:tcW w:w="88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4240C23" w14:textId="77777777" w:rsidR="000222BB" w:rsidRDefault="00BA1370">
            <w:pPr>
              <w:keepNext/>
              <w:spacing w:line="220" w:lineRule="auto"/>
              <w:jc w:val="center"/>
            </w:pPr>
            <w:r>
              <w:rPr>
                <w:sz w:val="15"/>
                <w:szCs w:val="15"/>
              </w:rPr>
              <w:t>0%</w:t>
            </w:r>
          </w:p>
        </w:tc>
        <w:tc>
          <w:tcPr>
            <w:tcW w:w="88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5F28CC1" w14:textId="77777777" w:rsidR="000222BB" w:rsidRDefault="00BA1370">
            <w:pPr>
              <w:keepNext/>
              <w:spacing w:line="220" w:lineRule="auto"/>
              <w:jc w:val="center"/>
            </w:pPr>
            <w:r>
              <w:rPr>
                <w:sz w:val="15"/>
                <w:szCs w:val="15"/>
              </w:rPr>
              <w:t>35.0%</w:t>
            </w:r>
          </w:p>
        </w:tc>
        <w:tc>
          <w:tcPr>
            <w:tcW w:w="1088"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50EB37C" w14:textId="77777777" w:rsidR="000222BB" w:rsidRDefault="00BA1370">
            <w:pPr>
              <w:keepNext/>
              <w:spacing w:line="220" w:lineRule="auto"/>
              <w:jc w:val="center"/>
            </w:pPr>
            <w:r>
              <w:rPr>
                <w:rFonts w:ascii="Segoe UI Symbol" w:eastAsia="Segoe UI Symbol" w:hAnsi="Segoe UI Symbol" w:cs="Segoe UI Symbol"/>
                <w:sz w:val="15"/>
                <w:szCs w:val="15"/>
              </w:rPr>
              <w:t>—</w:t>
            </w:r>
          </w:p>
        </w:tc>
      </w:tr>
      <w:tr w:rsidR="000222BB" w14:paraId="7292BD37" w14:textId="77777777">
        <w:trPr>
          <w:cantSplit/>
          <w:jc w:val="center"/>
        </w:trPr>
        <w:tc>
          <w:tcPr>
            <w:tcW w:w="2174"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14BA3DE" w14:textId="77777777" w:rsidR="000222BB" w:rsidRDefault="00BA1370">
            <w:pPr>
              <w:keepNext/>
              <w:spacing w:line="220" w:lineRule="auto"/>
            </w:pPr>
            <w:r>
              <w:rPr>
                <w:sz w:val="15"/>
                <w:szCs w:val="15"/>
              </w:rPr>
              <w:t>Correlation graph + ranking</w:t>
            </w:r>
          </w:p>
        </w:tc>
        <w:tc>
          <w:tcPr>
            <w:tcW w:w="88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DDA54D0" w14:textId="77777777" w:rsidR="000222BB" w:rsidRDefault="00BA1370">
            <w:pPr>
              <w:keepNext/>
              <w:spacing w:line="220" w:lineRule="auto"/>
              <w:jc w:val="center"/>
            </w:pPr>
            <w:r>
              <w:rPr>
                <w:sz w:val="15"/>
                <w:szCs w:val="15"/>
              </w:rPr>
              <w:t>30%</w:t>
            </w:r>
          </w:p>
        </w:tc>
        <w:tc>
          <w:tcPr>
            <w:tcW w:w="88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BF48F40" w14:textId="77777777" w:rsidR="000222BB" w:rsidRDefault="00BA1370">
            <w:pPr>
              <w:keepNext/>
              <w:spacing w:line="220" w:lineRule="auto"/>
              <w:jc w:val="center"/>
            </w:pPr>
            <w:r>
              <w:rPr>
                <w:sz w:val="15"/>
                <w:szCs w:val="15"/>
              </w:rPr>
              <w:t>73.7%</w:t>
            </w:r>
          </w:p>
        </w:tc>
        <w:tc>
          <w:tcPr>
            <w:tcW w:w="1088"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0283C01" w14:textId="77777777" w:rsidR="000222BB" w:rsidRDefault="00BA1370">
            <w:pPr>
              <w:keepNext/>
              <w:spacing w:line="220" w:lineRule="auto"/>
              <w:jc w:val="center"/>
            </w:pPr>
            <w:r>
              <w:rPr>
                <w:sz w:val="15"/>
                <w:szCs w:val="15"/>
              </w:rPr>
              <w:t>30.0%</w:t>
            </w:r>
          </w:p>
        </w:tc>
      </w:tr>
      <w:tr w:rsidR="000222BB" w14:paraId="36B8048F" w14:textId="77777777">
        <w:trPr>
          <w:cantSplit/>
          <w:jc w:val="center"/>
        </w:trPr>
        <w:tc>
          <w:tcPr>
            <w:tcW w:w="2174"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0271D26F" w14:textId="77777777" w:rsidR="000222BB" w:rsidRDefault="00BA1370">
            <w:pPr>
              <w:keepNext/>
              <w:spacing w:line="220" w:lineRule="auto"/>
            </w:pPr>
            <w:r>
              <w:rPr>
                <w:sz w:val="15"/>
                <w:szCs w:val="15"/>
              </w:rPr>
              <w:t>Granger graph + ranking</w:t>
            </w:r>
          </w:p>
        </w:tc>
        <w:tc>
          <w:tcPr>
            <w:tcW w:w="88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3A28BB8" w14:textId="77777777" w:rsidR="000222BB" w:rsidRDefault="00BA1370">
            <w:pPr>
              <w:keepNext/>
              <w:spacing w:line="220" w:lineRule="auto"/>
              <w:jc w:val="center"/>
            </w:pPr>
            <w:r>
              <w:rPr>
                <w:sz w:val="15"/>
                <w:szCs w:val="15"/>
              </w:rPr>
              <w:t>60%</w:t>
            </w:r>
          </w:p>
        </w:tc>
        <w:tc>
          <w:tcPr>
            <w:tcW w:w="88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DD6EFCE" w14:textId="77777777" w:rsidR="000222BB" w:rsidRDefault="00BA1370">
            <w:pPr>
              <w:keepNext/>
              <w:spacing w:line="220" w:lineRule="auto"/>
              <w:jc w:val="center"/>
            </w:pPr>
            <w:r>
              <w:rPr>
                <w:sz w:val="15"/>
                <w:szCs w:val="15"/>
              </w:rPr>
              <w:t>86.7%</w:t>
            </w:r>
          </w:p>
        </w:tc>
        <w:tc>
          <w:tcPr>
            <w:tcW w:w="1088"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9BA9A22" w14:textId="77777777" w:rsidR="000222BB" w:rsidRDefault="00BA1370">
            <w:pPr>
              <w:keepNext/>
              <w:spacing w:line="220" w:lineRule="auto"/>
              <w:jc w:val="center"/>
            </w:pPr>
            <w:r>
              <w:rPr>
                <w:sz w:val="15"/>
                <w:szCs w:val="15"/>
              </w:rPr>
              <w:t>98.0%</w:t>
            </w:r>
          </w:p>
        </w:tc>
      </w:tr>
      <w:tr w:rsidR="000222BB" w14:paraId="480D19F4" w14:textId="77777777">
        <w:trPr>
          <w:cantSplit/>
          <w:jc w:val="center"/>
        </w:trPr>
        <w:tc>
          <w:tcPr>
            <w:tcW w:w="2174"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C93C59A" w14:textId="77777777" w:rsidR="000222BB" w:rsidRDefault="00BA1370">
            <w:pPr>
              <w:keepNext/>
              <w:spacing w:line="220" w:lineRule="auto"/>
            </w:pPr>
            <w:r>
              <w:rPr>
                <w:sz w:val="15"/>
                <w:szCs w:val="15"/>
              </w:rPr>
              <w:t>VARLiNGAM graph + ranking</w:t>
            </w:r>
          </w:p>
        </w:tc>
        <w:tc>
          <w:tcPr>
            <w:tcW w:w="88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C10951D" w14:textId="77777777" w:rsidR="000222BB" w:rsidRDefault="00BA1370">
            <w:pPr>
              <w:keepNext/>
              <w:spacing w:line="220" w:lineRule="auto"/>
              <w:jc w:val="center"/>
            </w:pPr>
            <w:r>
              <w:rPr>
                <w:sz w:val="15"/>
                <w:szCs w:val="15"/>
              </w:rPr>
              <w:t>40%</w:t>
            </w:r>
          </w:p>
        </w:tc>
        <w:tc>
          <w:tcPr>
            <w:tcW w:w="88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03355028" w14:textId="77777777" w:rsidR="000222BB" w:rsidRDefault="00BA1370">
            <w:pPr>
              <w:keepNext/>
              <w:spacing w:line="220" w:lineRule="auto"/>
              <w:jc w:val="center"/>
            </w:pPr>
            <w:r>
              <w:rPr>
                <w:sz w:val="15"/>
                <w:szCs w:val="15"/>
              </w:rPr>
              <w:t>80.0%</w:t>
            </w:r>
          </w:p>
        </w:tc>
        <w:tc>
          <w:tcPr>
            <w:tcW w:w="1088"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F50C11C" w14:textId="77777777" w:rsidR="000222BB" w:rsidRDefault="00BA1370">
            <w:pPr>
              <w:keepNext/>
              <w:spacing w:line="220" w:lineRule="auto"/>
              <w:jc w:val="center"/>
            </w:pPr>
            <w:r>
              <w:rPr>
                <w:sz w:val="15"/>
                <w:szCs w:val="15"/>
              </w:rPr>
              <w:t>98.0%</w:t>
            </w:r>
          </w:p>
        </w:tc>
      </w:tr>
      <w:tr w:rsidR="000222BB" w14:paraId="794ADEDE" w14:textId="77777777">
        <w:trPr>
          <w:cantSplit/>
          <w:jc w:val="center"/>
        </w:trPr>
        <w:tc>
          <w:tcPr>
            <w:tcW w:w="2174" w:type="dxa"/>
            <w:tcBorders>
              <w:top w:val="none" w:sz="0" w:space="0" w:color="FFFFFF"/>
              <w:left w:val="none" w:sz="0" w:space="0" w:color="FFFFFF"/>
              <w:bottom w:val="none" w:sz="0" w:space="0" w:color="FFFFFF"/>
              <w:right w:val="none" w:sz="0" w:space="0" w:color="FFFFFF"/>
            </w:tcBorders>
            <w:shd w:val="clear" w:color="auto" w:fill="E8E8E8"/>
            <w:tcMar>
              <w:top w:w="20" w:type="dxa"/>
              <w:left w:w="50" w:type="dxa"/>
              <w:bottom w:w="20" w:type="dxa"/>
              <w:right w:w="50" w:type="dxa"/>
            </w:tcMar>
          </w:tcPr>
          <w:p w14:paraId="39A97AC3" w14:textId="77777777" w:rsidR="000222BB" w:rsidRDefault="00BA1370">
            <w:pPr>
              <w:keepNext/>
              <w:spacing w:line="220" w:lineRule="auto"/>
            </w:pPr>
            <w:r>
              <w:rPr>
                <w:sz w:val="15"/>
                <w:szCs w:val="15"/>
              </w:rPr>
              <w:t>KAIROS without bootstrap</w:t>
            </w:r>
          </w:p>
        </w:tc>
        <w:tc>
          <w:tcPr>
            <w:tcW w:w="889" w:type="dxa"/>
            <w:tcBorders>
              <w:top w:val="none" w:sz="0" w:space="0" w:color="FFFFFF"/>
              <w:left w:val="none" w:sz="0" w:space="0" w:color="FFFFFF"/>
              <w:bottom w:val="none" w:sz="0" w:space="0" w:color="FFFFFF"/>
              <w:right w:val="none" w:sz="0" w:space="0" w:color="FFFFFF"/>
            </w:tcBorders>
            <w:shd w:val="clear" w:color="auto" w:fill="E8E8E8"/>
            <w:tcMar>
              <w:top w:w="20" w:type="dxa"/>
              <w:left w:w="50" w:type="dxa"/>
              <w:bottom w:w="20" w:type="dxa"/>
              <w:right w:w="50" w:type="dxa"/>
            </w:tcMar>
          </w:tcPr>
          <w:p w14:paraId="35D74B81" w14:textId="77777777" w:rsidR="000222BB" w:rsidRDefault="00BA1370">
            <w:pPr>
              <w:keepNext/>
              <w:spacing w:line="220" w:lineRule="auto"/>
              <w:jc w:val="center"/>
            </w:pPr>
            <w:r>
              <w:rPr>
                <w:sz w:val="15"/>
                <w:szCs w:val="15"/>
              </w:rPr>
              <w:t>100%</w:t>
            </w:r>
          </w:p>
        </w:tc>
        <w:tc>
          <w:tcPr>
            <w:tcW w:w="889" w:type="dxa"/>
            <w:tcBorders>
              <w:top w:val="none" w:sz="0" w:space="0" w:color="FFFFFF"/>
              <w:left w:val="none" w:sz="0" w:space="0" w:color="FFFFFF"/>
              <w:bottom w:val="none" w:sz="0" w:space="0" w:color="FFFFFF"/>
              <w:right w:val="none" w:sz="0" w:space="0" w:color="FFFFFF"/>
            </w:tcBorders>
            <w:shd w:val="clear" w:color="auto" w:fill="E8E8E8"/>
            <w:tcMar>
              <w:top w:w="20" w:type="dxa"/>
              <w:left w:w="50" w:type="dxa"/>
              <w:bottom w:w="20" w:type="dxa"/>
              <w:right w:w="50" w:type="dxa"/>
            </w:tcMar>
          </w:tcPr>
          <w:p w14:paraId="1F786457" w14:textId="77777777" w:rsidR="000222BB" w:rsidRDefault="00BA1370">
            <w:pPr>
              <w:keepNext/>
              <w:spacing w:line="220" w:lineRule="auto"/>
              <w:jc w:val="center"/>
            </w:pPr>
            <w:r>
              <w:rPr>
                <w:sz w:val="15"/>
                <w:szCs w:val="15"/>
              </w:rPr>
              <w:t>100%</w:t>
            </w:r>
          </w:p>
        </w:tc>
        <w:tc>
          <w:tcPr>
            <w:tcW w:w="1088" w:type="dxa"/>
            <w:tcBorders>
              <w:top w:val="none" w:sz="0" w:space="0" w:color="FFFFFF"/>
              <w:left w:val="none" w:sz="0" w:space="0" w:color="FFFFFF"/>
              <w:bottom w:val="none" w:sz="0" w:space="0" w:color="FFFFFF"/>
              <w:right w:val="none" w:sz="0" w:space="0" w:color="FFFFFF"/>
            </w:tcBorders>
            <w:shd w:val="clear" w:color="auto" w:fill="E8E8E8"/>
            <w:tcMar>
              <w:top w:w="20" w:type="dxa"/>
              <w:left w:w="50" w:type="dxa"/>
              <w:bottom w:w="20" w:type="dxa"/>
              <w:right w:w="50" w:type="dxa"/>
            </w:tcMar>
          </w:tcPr>
          <w:p w14:paraId="68AE143A" w14:textId="77777777" w:rsidR="000222BB" w:rsidRDefault="00BA1370">
            <w:pPr>
              <w:keepNext/>
              <w:spacing w:line="220" w:lineRule="auto"/>
              <w:jc w:val="center"/>
            </w:pPr>
            <w:r>
              <w:rPr>
                <w:sz w:val="15"/>
                <w:szCs w:val="15"/>
              </w:rPr>
              <w:t>100%</w:t>
            </w:r>
          </w:p>
        </w:tc>
      </w:tr>
      <w:tr w:rsidR="000222BB" w14:paraId="235659BB" w14:textId="77777777">
        <w:trPr>
          <w:cantSplit/>
          <w:jc w:val="center"/>
        </w:trPr>
        <w:tc>
          <w:tcPr>
            <w:tcW w:w="2174" w:type="dxa"/>
            <w:tcBorders>
              <w:top w:val="none" w:sz="0" w:space="0" w:color="FFFFFF"/>
              <w:left w:val="none" w:sz="0" w:space="0" w:color="FFFFFF"/>
              <w:bottom w:val="single" w:sz="4" w:space="0" w:color="000000"/>
              <w:right w:val="none" w:sz="0" w:space="0" w:color="FFFFFF"/>
            </w:tcBorders>
            <w:shd w:val="clear" w:color="auto" w:fill="E8E8E8"/>
            <w:tcMar>
              <w:top w:w="20" w:type="dxa"/>
              <w:left w:w="50" w:type="dxa"/>
              <w:bottom w:w="20" w:type="dxa"/>
              <w:right w:w="50" w:type="dxa"/>
            </w:tcMar>
          </w:tcPr>
          <w:p w14:paraId="4854D6C5" w14:textId="77777777" w:rsidR="000222BB" w:rsidRDefault="00BA1370">
            <w:pPr>
              <w:spacing w:line="220" w:lineRule="auto"/>
            </w:pPr>
            <w:r>
              <w:rPr>
                <w:b/>
                <w:bCs/>
                <w:sz w:val="15"/>
                <w:szCs w:val="15"/>
              </w:rPr>
              <w:t>KAIROS (full)</w:t>
            </w:r>
          </w:p>
        </w:tc>
        <w:tc>
          <w:tcPr>
            <w:tcW w:w="889" w:type="dxa"/>
            <w:tcBorders>
              <w:top w:val="none" w:sz="0" w:space="0" w:color="FFFFFF"/>
              <w:left w:val="none" w:sz="0" w:space="0" w:color="FFFFFF"/>
              <w:bottom w:val="single" w:sz="4" w:space="0" w:color="000000"/>
              <w:right w:val="none" w:sz="0" w:space="0" w:color="FFFFFF"/>
            </w:tcBorders>
            <w:shd w:val="clear" w:color="auto" w:fill="E8E8E8"/>
            <w:tcMar>
              <w:top w:w="20" w:type="dxa"/>
              <w:left w:w="50" w:type="dxa"/>
              <w:bottom w:w="20" w:type="dxa"/>
              <w:right w:w="50" w:type="dxa"/>
            </w:tcMar>
          </w:tcPr>
          <w:p w14:paraId="79C02199" w14:textId="77777777" w:rsidR="000222BB" w:rsidRDefault="00BA1370">
            <w:pPr>
              <w:spacing w:line="220" w:lineRule="auto"/>
              <w:jc w:val="center"/>
            </w:pPr>
            <w:r>
              <w:rPr>
                <w:b/>
                <w:bCs/>
                <w:sz w:val="15"/>
                <w:szCs w:val="15"/>
              </w:rPr>
              <w:t>100%</w:t>
            </w:r>
          </w:p>
        </w:tc>
        <w:tc>
          <w:tcPr>
            <w:tcW w:w="889" w:type="dxa"/>
            <w:tcBorders>
              <w:top w:val="none" w:sz="0" w:space="0" w:color="FFFFFF"/>
              <w:left w:val="none" w:sz="0" w:space="0" w:color="FFFFFF"/>
              <w:bottom w:val="single" w:sz="4" w:space="0" w:color="000000"/>
              <w:right w:val="none" w:sz="0" w:space="0" w:color="FFFFFF"/>
            </w:tcBorders>
            <w:shd w:val="clear" w:color="auto" w:fill="E8E8E8"/>
            <w:tcMar>
              <w:top w:w="20" w:type="dxa"/>
              <w:left w:w="50" w:type="dxa"/>
              <w:bottom w:w="20" w:type="dxa"/>
              <w:right w:w="50" w:type="dxa"/>
            </w:tcMar>
          </w:tcPr>
          <w:p w14:paraId="5AD5E936" w14:textId="77777777" w:rsidR="000222BB" w:rsidRDefault="00BA1370">
            <w:pPr>
              <w:spacing w:line="220" w:lineRule="auto"/>
              <w:jc w:val="center"/>
            </w:pPr>
            <w:r>
              <w:rPr>
                <w:b/>
                <w:bCs/>
                <w:sz w:val="15"/>
                <w:szCs w:val="15"/>
              </w:rPr>
              <w:t>100%</w:t>
            </w:r>
          </w:p>
        </w:tc>
        <w:tc>
          <w:tcPr>
            <w:tcW w:w="1088" w:type="dxa"/>
            <w:tcBorders>
              <w:top w:val="none" w:sz="0" w:space="0" w:color="FFFFFF"/>
              <w:left w:val="none" w:sz="0" w:space="0" w:color="FFFFFF"/>
              <w:bottom w:val="single" w:sz="4" w:space="0" w:color="000000"/>
              <w:right w:val="none" w:sz="0" w:space="0" w:color="FFFFFF"/>
            </w:tcBorders>
            <w:shd w:val="clear" w:color="auto" w:fill="E8E8E8"/>
            <w:tcMar>
              <w:top w:w="20" w:type="dxa"/>
              <w:left w:w="50" w:type="dxa"/>
              <w:bottom w:w="20" w:type="dxa"/>
              <w:right w:w="50" w:type="dxa"/>
            </w:tcMar>
          </w:tcPr>
          <w:p w14:paraId="5B60958E" w14:textId="77777777" w:rsidR="000222BB" w:rsidRDefault="00BA1370">
            <w:pPr>
              <w:spacing w:line="220" w:lineRule="auto"/>
              <w:jc w:val="center"/>
            </w:pPr>
            <w:r>
              <w:rPr>
                <w:b/>
                <w:bCs/>
                <w:sz w:val="15"/>
                <w:szCs w:val="15"/>
              </w:rPr>
              <w:t>100%</w:t>
            </w:r>
          </w:p>
        </w:tc>
      </w:tr>
    </w:tbl>
    <w:p w14:paraId="42BD190D" w14:textId="77777777" w:rsidR="000222BB" w:rsidRDefault="000222BB">
      <w:pPr>
        <w:spacing w:after="100"/>
      </w:pPr>
    </w:p>
    <w:p w14:paraId="6B76D173" w14:textId="77777777" w:rsidR="000222BB" w:rsidRDefault="00BA1370">
      <w:pPr>
        <w:ind w:firstLine="202"/>
        <w:jc w:val="both"/>
      </w:pPr>
      <w:r>
        <w:t>Table III reports how often each strategy named exactly the two injected origins. KAIROS did so in all ten runs, 30 percentage points more than the best non-causal heuristic and 40 to 70 points more than the same ranking on the baseline graphs. The top-movers heuristic failed in three runs because a downstream metric, support tickets, deviated more than its cause. The earliest-anomaly rule never succeeded, because an unrelated isolated anomaly occurred before both incidents. On the Granger and VARLiNGAM gra</w:t>
      </w:r>
      <w:r>
        <w:t>phs, spurious edges gave a true origin an apparent anomalous parent, so it was demoted and origin recall fell to 80% and 70%. The correlation graph, having no direction, produced correct top-five chains only 30% of the time, against 100% for KAIROS. A full investigation took 0.95 s on average. Fig. 4 shows the result in the dashboard: both origins are starred and the chain from delivery delay to churn is ranked first.</w:t>
      </w:r>
    </w:p>
    <w:p w14:paraId="484E1ECA" w14:textId="77777777" w:rsidR="000222BB" w:rsidRDefault="00BA1370">
      <w:pPr>
        <w:keepNext/>
        <w:spacing w:before="100" w:after="40"/>
      </w:pPr>
      <w:r>
        <w:rPr>
          <w:i/>
          <w:iCs/>
        </w:rPr>
        <w:t>C. Detection and Sensitivity</w:t>
      </w:r>
    </w:p>
    <w:p w14:paraId="78000884" w14:textId="77777777" w:rsidR="000222BB" w:rsidRDefault="00BA1370">
      <w:pPr>
        <w:keepNext/>
        <w:spacing w:before="120"/>
        <w:jc w:val="center"/>
      </w:pPr>
      <w:r>
        <w:rPr>
          <w:sz w:val="16"/>
          <w:szCs w:val="16"/>
        </w:rPr>
        <w:t>TABLE IV</w:t>
      </w:r>
    </w:p>
    <w:p w14:paraId="3453A7B1" w14:textId="77777777" w:rsidR="000222BB" w:rsidRDefault="00BA1370">
      <w:pPr>
        <w:keepNext/>
        <w:spacing w:after="60"/>
        <w:jc w:val="center"/>
      </w:pPr>
      <w:r>
        <w:rPr>
          <w:smallCaps/>
          <w:sz w:val="16"/>
          <w:szCs w:val="16"/>
        </w:rPr>
        <w:t>Sensitivity (mean of ten seeds)</w:t>
      </w:r>
    </w:p>
    <w:tbl>
      <w:tblPr>
        <w:tblW w:w="5040" w:type="dxa"/>
        <w:jc w:val="center"/>
        <w:tblLook w:val="04A0" w:firstRow="1" w:lastRow="0" w:firstColumn="1" w:lastColumn="0" w:noHBand="0" w:noVBand="1"/>
      </w:tblPr>
      <w:tblGrid>
        <w:gridCol w:w="1131"/>
        <w:gridCol w:w="1749"/>
        <w:gridCol w:w="2160"/>
      </w:tblGrid>
      <w:tr w:rsidR="000222BB" w14:paraId="7720C70F" w14:textId="77777777">
        <w:trPr>
          <w:cantSplit/>
          <w:tblHeader/>
          <w:jc w:val="center"/>
        </w:trPr>
        <w:tc>
          <w:tcPr>
            <w:tcW w:w="1131"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0854EEF8" w14:textId="77777777" w:rsidR="000222BB" w:rsidRDefault="00BA1370">
            <w:pPr>
              <w:keepNext/>
              <w:spacing w:line="220" w:lineRule="auto"/>
            </w:pPr>
            <w:r>
              <w:rPr>
                <w:b/>
                <w:bCs/>
                <w:sz w:val="15"/>
                <w:szCs w:val="15"/>
              </w:rPr>
              <w:t>Setting</w:t>
            </w:r>
          </w:p>
        </w:tc>
        <w:tc>
          <w:tcPr>
            <w:tcW w:w="1749"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3D606661" w14:textId="77777777" w:rsidR="000222BB" w:rsidRDefault="00BA1370">
            <w:pPr>
              <w:keepNext/>
              <w:spacing w:line="220" w:lineRule="auto"/>
              <w:jc w:val="center"/>
            </w:pPr>
            <w:r>
              <w:rPr>
                <w:b/>
                <w:bCs/>
                <w:sz w:val="15"/>
                <w:szCs w:val="15"/>
              </w:rPr>
              <w:t>Values</w:t>
            </w:r>
          </w:p>
        </w:tc>
        <w:tc>
          <w:tcPr>
            <w:tcW w:w="216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36445940" w14:textId="77777777" w:rsidR="000222BB" w:rsidRDefault="00BA1370">
            <w:pPr>
              <w:keepNext/>
              <w:spacing w:line="220" w:lineRule="auto"/>
              <w:jc w:val="center"/>
            </w:pPr>
            <w:r>
              <w:rPr>
                <w:b/>
                <w:bCs/>
                <w:sz w:val="15"/>
                <w:szCs w:val="15"/>
              </w:rPr>
              <w:t>Result</w:t>
            </w:r>
          </w:p>
        </w:tc>
      </w:tr>
      <w:tr w:rsidR="000222BB" w14:paraId="4C9AA22A" w14:textId="77777777">
        <w:trPr>
          <w:cantSplit/>
          <w:jc w:val="center"/>
        </w:trPr>
        <w:tc>
          <w:tcPr>
            <w:tcW w:w="1131"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F819059" w14:textId="77777777" w:rsidR="000222BB" w:rsidRDefault="00BA1370">
            <w:pPr>
              <w:keepNext/>
              <w:spacing w:line="220" w:lineRule="auto"/>
            </w:pPr>
            <w:r>
              <w:rPr>
                <w:sz w:val="15"/>
                <w:szCs w:val="15"/>
              </w:rPr>
              <w:t>τ (λ = 0.05)</w:t>
            </w:r>
          </w:p>
        </w:tc>
        <w:tc>
          <w:tcPr>
            <w:tcW w:w="174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88B7095" w14:textId="77777777" w:rsidR="000222BB" w:rsidRDefault="00BA1370">
            <w:pPr>
              <w:keepNext/>
              <w:spacing w:line="220" w:lineRule="auto"/>
              <w:jc w:val="center"/>
            </w:pPr>
            <w:r>
              <w:rPr>
                <w:sz w:val="15"/>
                <w:szCs w:val="15"/>
              </w:rPr>
              <w:t>0.10 / 0.15 / 0.20 / 0.30</w:t>
            </w:r>
          </w:p>
        </w:tc>
        <w:tc>
          <w:tcPr>
            <w:tcW w:w="21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86B048E" w14:textId="77777777" w:rsidR="000222BB" w:rsidRDefault="00BA1370">
            <w:pPr>
              <w:keepNext/>
              <w:spacing w:line="220" w:lineRule="auto"/>
              <w:jc w:val="center"/>
            </w:pPr>
            <w:r>
              <w:rPr>
                <w:sz w:val="15"/>
                <w:szCs w:val="15"/>
              </w:rPr>
              <w:t>F1 0.93 / 0.97 / 0.94 / 0.90</w:t>
            </w:r>
          </w:p>
        </w:tc>
      </w:tr>
      <w:tr w:rsidR="000222BB" w14:paraId="5F962C90" w14:textId="77777777">
        <w:trPr>
          <w:cantSplit/>
          <w:jc w:val="center"/>
        </w:trPr>
        <w:tc>
          <w:tcPr>
            <w:tcW w:w="1131"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34BF248" w14:textId="77777777" w:rsidR="000222BB" w:rsidRDefault="00BA1370">
            <w:pPr>
              <w:keepNext/>
              <w:spacing w:line="220" w:lineRule="auto"/>
            </w:pPr>
            <w:r>
              <w:rPr>
                <w:sz w:val="15"/>
                <w:szCs w:val="15"/>
              </w:rPr>
              <w:t>λ (τ = 0.15)</w:t>
            </w:r>
          </w:p>
        </w:tc>
        <w:tc>
          <w:tcPr>
            <w:tcW w:w="174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39AA9DE" w14:textId="77777777" w:rsidR="000222BB" w:rsidRDefault="00BA1370">
            <w:pPr>
              <w:keepNext/>
              <w:spacing w:line="220" w:lineRule="auto"/>
              <w:jc w:val="center"/>
            </w:pPr>
            <w:r>
              <w:rPr>
                <w:sz w:val="15"/>
                <w:szCs w:val="15"/>
              </w:rPr>
              <w:t>0.01 / 0.05 / 0.10</w:t>
            </w:r>
          </w:p>
        </w:tc>
        <w:tc>
          <w:tcPr>
            <w:tcW w:w="21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0F739134" w14:textId="77777777" w:rsidR="000222BB" w:rsidRDefault="00BA1370">
            <w:pPr>
              <w:keepNext/>
              <w:spacing w:line="220" w:lineRule="auto"/>
              <w:jc w:val="center"/>
            </w:pPr>
            <w:r>
              <w:rPr>
                <w:sz w:val="15"/>
                <w:szCs w:val="15"/>
              </w:rPr>
              <w:t>F1 0.85 / 0.97 / 0.94</w:t>
            </w:r>
          </w:p>
        </w:tc>
      </w:tr>
      <w:tr w:rsidR="000222BB" w14:paraId="6A2DFE57" w14:textId="77777777">
        <w:trPr>
          <w:cantSplit/>
          <w:jc w:val="center"/>
        </w:trPr>
        <w:tc>
          <w:tcPr>
            <w:tcW w:w="1131"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F3884C1" w14:textId="77777777" w:rsidR="000222BB" w:rsidRDefault="00BA1370">
            <w:pPr>
              <w:keepNext/>
              <w:spacing w:line="220" w:lineRule="auto"/>
            </w:pPr>
            <w:r>
              <w:rPr>
                <w:sz w:val="15"/>
                <w:szCs w:val="15"/>
              </w:rPr>
              <w:t>z threshold</w:t>
            </w:r>
          </w:p>
        </w:tc>
        <w:tc>
          <w:tcPr>
            <w:tcW w:w="174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6499DEE" w14:textId="77777777" w:rsidR="000222BB" w:rsidRDefault="00BA1370">
            <w:pPr>
              <w:keepNext/>
              <w:spacing w:line="220" w:lineRule="auto"/>
              <w:jc w:val="center"/>
            </w:pPr>
            <w:r>
              <w:rPr>
                <w:sz w:val="15"/>
                <w:szCs w:val="15"/>
              </w:rPr>
              <w:t>3.0 / 3.5 / 4.0 / 5.0</w:t>
            </w:r>
          </w:p>
        </w:tc>
        <w:tc>
          <w:tcPr>
            <w:tcW w:w="21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13C87AE" w14:textId="77777777" w:rsidR="000222BB" w:rsidRDefault="00BA1370">
            <w:pPr>
              <w:keepNext/>
              <w:spacing w:line="220" w:lineRule="auto"/>
              <w:jc w:val="center"/>
            </w:pPr>
            <w:r>
              <w:rPr>
                <w:sz w:val="15"/>
                <w:szCs w:val="15"/>
              </w:rPr>
              <w:t>Prec. 0.54 / 0.77 / 0.93 / 1.00</w:t>
            </w:r>
          </w:p>
        </w:tc>
      </w:tr>
      <w:tr w:rsidR="000222BB" w14:paraId="3B8FC2CF" w14:textId="77777777">
        <w:trPr>
          <w:cantSplit/>
          <w:jc w:val="center"/>
        </w:trPr>
        <w:tc>
          <w:tcPr>
            <w:tcW w:w="1131"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01835189" w14:textId="77777777" w:rsidR="000222BB" w:rsidRDefault="00BA1370">
            <w:pPr>
              <w:spacing w:line="220" w:lineRule="auto"/>
            </w:pPr>
            <w:r>
              <w:rPr>
                <w:sz w:val="15"/>
                <w:szCs w:val="15"/>
              </w:rPr>
              <w:t>z threshold</w:t>
            </w:r>
          </w:p>
        </w:tc>
        <w:tc>
          <w:tcPr>
            <w:tcW w:w="1749"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25DBA6E6" w14:textId="77777777" w:rsidR="000222BB" w:rsidRDefault="00BA1370">
            <w:pPr>
              <w:spacing w:line="220" w:lineRule="auto"/>
              <w:jc w:val="center"/>
            </w:pPr>
            <w:r>
              <w:rPr>
                <w:sz w:val="15"/>
                <w:szCs w:val="15"/>
              </w:rPr>
              <w:t>3.0 / 3.5 / 4.0 / 5.0</w:t>
            </w:r>
          </w:p>
        </w:tc>
        <w:tc>
          <w:tcPr>
            <w:tcW w:w="216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769E8CE2" w14:textId="77777777" w:rsidR="000222BB" w:rsidRDefault="00BA1370">
            <w:pPr>
              <w:spacing w:line="220" w:lineRule="auto"/>
              <w:jc w:val="center"/>
            </w:pPr>
            <w:r>
              <w:rPr>
                <w:sz w:val="15"/>
                <w:szCs w:val="15"/>
              </w:rPr>
              <w:t>Recall 1.00 / 1.00 / 0.99 / 0.99</w:t>
            </w:r>
          </w:p>
        </w:tc>
      </w:tr>
    </w:tbl>
    <w:p w14:paraId="15315572" w14:textId="77777777" w:rsidR="000222BB" w:rsidRDefault="000222BB">
      <w:pPr>
        <w:spacing w:after="100"/>
      </w:pPr>
    </w:p>
    <w:p w14:paraId="20A7AC84" w14:textId="77777777" w:rsidR="000222BB" w:rsidRDefault="00BA1370">
      <w:pPr>
        <w:ind w:firstLine="202"/>
        <w:jc w:val="both"/>
        <w:sectPr w:rsidR="000222BB">
          <w:type w:val="continuous"/>
          <w:pgSz w:w="12240" w:h="15840"/>
          <w:pgMar w:top="1080" w:right="900" w:bottom="1440" w:left="900" w:header="708" w:footer="708" w:gutter="0"/>
          <w:cols w:num="2" w:space="360"/>
          <w:docGrid w:linePitch="360"/>
        </w:sectPr>
      </w:pPr>
      <w:r>
        <w:t>The robust detector found every injected event (event recall 100%) with point precision of 77.2 ± 6.2%, in 0.23 s per cycle. Adding Prophet gave 75.2% precision at 14.3 times the cost, so the robust detector is both 2.0 points more precise and an order of magnitude faster, and Prophet is kept optional. Table IV shows that the chosen settings sit in a stable region: F1 stays above 0.89 for τ between 0.10 and 0.30, and raising z to 4.0 lifts precision by 15.7 points to 92.9% while event recall stays at 99.4%.</w:t>
      </w:r>
    </w:p>
    <w:p w14:paraId="5B91FCF9" w14:textId="77777777" w:rsidR="000222BB" w:rsidRDefault="00BA1370">
      <w:pPr>
        <w:keepNext/>
        <w:spacing w:before="100" w:after="40"/>
        <w:jc w:val="center"/>
      </w:pPr>
      <w:r>
        <w:rPr>
          <w:noProof/>
        </w:rPr>
        <w:drawing>
          <wp:inline distT="0" distB="0" distL="0" distR="0" wp14:anchorId="0D9CB88C" wp14:editId="506091F3">
            <wp:extent cx="5762625" cy="4381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4381500"/>
                    </a:xfrm>
                    <a:prstGeom prst="rect">
                      <a:avLst/>
                    </a:prstGeom>
                  </pic:spPr>
                </pic:pic>
              </a:graphicData>
            </a:graphic>
          </wp:inline>
        </w:drawing>
      </w:r>
    </w:p>
    <w:p w14:paraId="0AA2BF11" w14:textId="77777777" w:rsidR="000222BB" w:rsidRDefault="00BA1370">
      <w:pPr>
        <w:spacing w:after="120"/>
        <w:jc w:val="center"/>
        <w:sectPr w:rsidR="000222BB">
          <w:type w:val="continuous"/>
          <w:pgSz w:w="12240" w:h="15840"/>
          <w:pgMar w:top="1080" w:right="900" w:bottom="1440" w:left="900" w:header="708" w:footer="708" w:gutter="0"/>
          <w:cols w:space="720"/>
          <w:docGrid w:linePitch="360"/>
        </w:sectPr>
      </w:pPr>
      <w:r>
        <w:rPr>
          <w:sz w:val="16"/>
          <w:szCs w:val="16"/>
        </w:rPr>
        <w:t>Fig. 4. Causal Analysis page: the learned Causal Business Metric Graph (red nodes are anomalous, starred nodes are the origins found) and the ranked root-cause chains with strength, bootstrap confidence, lag and temporal evidence.</w:t>
      </w:r>
    </w:p>
    <w:p w14:paraId="2088A427" w14:textId="77777777" w:rsidR="000222BB" w:rsidRDefault="00BA1370">
      <w:pPr>
        <w:keepNext/>
        <w:spacing w:before="100" w:after="40"/>
      </w:pPr>
      <w:r>
        <w:rPr>
          <w:i/>
          <w:iCs/>
        </w:rPr>
        <w:t>D. Verifier</w:t>
      </w:r>
    </w:p>
    <w:p w14:paraId="350E2FC1" w14:textId="77777777" w:rsidR="000222BB" w:rsidRDefault="00BA1370">
      <w:pPr>
        <w:keepNext/>
        <w:spacing w:before="120"/>
        <w:jc w:val="center"/>
      </w:pPr>
      <w:r>
        <w:rPr>
          <w:sz w:val="16"/>
          <w:szCs w:val="16"/>
        </w:rPr>
        <w:t>TABLE V</w:t>
      </w:r>
    </w:p>
    <w:p w14:paraId="7C4AD2CE" w14:textId="77777777" w:rsidR="000222BB" w:rsidRDefault="00BA1370">
      <w:pPr>
        <w:keepNext/>
        <w:spacing w:after="60"/>
        <w:jc w:val="center"/>
      </w:pPr>
      <w:r>
        <w:rPr>
          <w:smallCaps/>
          <w:sz w:val="16"/>
          <w:szCs w:val="16"/>
        </w:rPr>
        <w:t>LLM-Modulo verifier stress test</w:t>
      </w:r>
    </w:p>
    <w:tbl>
      <w:tblPr>
        <w:tblW w:w="5040" w:type="dxa"/>
        <w:jc w:val="center"/>
        <w:tblLook w:val="04A0" w:firstRow="1" w:lastRow="0" w:firstColumn="1" w:lastColumn="0" w:noHBand="0" w:noVBand="1"/>
      </w:tblPr>
      <w:tblGrid>
        <w:gridCol w:w="2263"/>
        <w:gridCol w:w="720"/>
        <w:gridCol w:w="1131"/>
        <w:gridCol w:w="926"/>
      </w:tblGrid>
      <w:tr w:rsidR="000222BB" w14:paraId="1F165063" w14:textId="77777777">
        <w:trPr>
          <w:cantSplit/>
          <w:tblHeader/>
          <w:jc w:val="center"/>
        </w:trPr>
        <w:tc>
          <w:tcPr>
            <w:tcW w:w="2263"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5D8624EA" w14:textId="77777777" w:rsidR="000222BB" w:rsidRDefault="00BA1370">
            <w:pPr>
              <w:keepNext/>
              <w:spacing w:line="220" w:lineRule="auto"/>
            </w:pPr>
            <w:r>
              <w:rPr>
                <w:b/>
                <w:bCs/>
                <w:sz w:val="15"/>
                <w:szCs w:val="15"/>
              </w:rPr>
              <w:t>Test</w:t>
            </w:r>
          </w:p>
        </w:tc>
        <w:tc>
          <w:tcPr>
            <w:tcW w:w="72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7E431D6A" w14:textId="77777777" w:rsidR="000222BB" w:rsidRDefault="00BA1370">
            <w:pPr>
              <w:keepNext/>
              <w:spacing w:line="220" w:lineRule="auto"/>
              <w:jc w:val="center"/>
            </w:pPr>
            <w:r>
              <w:rPr>
                <w:b/>
                <w:bCs/>
                <w:sz w:val="15"/>
                <w:szCs w:val="15"/>
              </w:rPr>
              <w:t>Cases</w:t>
            </w:r>
          </w:p>
        </w:tc>
        <w:tc>
          <w:tcPr>
            <w:tcW w:w="1131"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6FCC67BD" w14:textId="77777777" w:rsidR="000222BB" w:rsidRDefault="00BA1370">
            <w:pPr>
              <w:keepNext/>
              <w:spacing w:line="220" w:lineRule="auto"/>
              <w:jc w:val="center"/>
            </w:pPr>
            <w:r>
              <w:rPr>
                <w:b/>
                <w:bCs/>
                <w:sz w:val="15"/>
                <w:szCs w:val="15"/>
              </w:rPr>
              <w:t>Tolerance rule</w:t>
            </w:r>
          </w:p>
        </w:tc>
        <w:tc>
          <w:tcPr>
            <w:tcW w:w="926"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0FB49DCC" w14:textId="77777777" w:rsidR="000222BB" w:rsidRDefault="00BA1370">
            <w:pPr>
              <w:keepNext/>
              <w:spacing w:line="220" w:lineRule="auto"/>
              <w:jc w:val="center"/>
            </w:pPr>
            <w:r>
              <w:rPr>
                <w:b/>
                <w:bCs/>
                <w:sz w:val="15"/>
                <w:szCs w:val="15"/>
              </w:rPr>
              <w:t>KAIROS</w:t>
            </w:r>
          </w:p>
        </w:tc>
      </w:tr>
      <w:tr w:rsidR="000222BB" w14:paraId="504323B3" w14:textId="77777777">
        <w:trPr>
          <w:cantSplit/>
          <w:jc w:val="center"/>
        </w:trPr>
        <w:tc>
          <w:tcPr>
            <w:tcW w:w="2263"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6169F10" w14:textId="77777777" w:rsidR="000222BB" w:rsidRDefault="00BA1370">
            <w:pPr>
              <w:keepNext/>
              <w:spacing w:line="220" w:lineRule="auto"/>
            </w:pPr>
            <w:r>
              <w:rPr>
                <w:sz w:val="15"/>
                <w:szCs w:val="15"/>
              </w:rPr>
              <w:t>Corrupted numbers caught</w:t>
            </w:r>
          </w:p>
        </w:tc>
        <w:tc>
          <w:tcPr>
            <w:tcW w:w="7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CE0EC07" w14:textId="77777777" w:rsidR="000222BB" w:rsidRDefault="00BA1370">
            <w:pPr>
              <w:keepNext/>
              <w:spacing w:line="220" w:lineRule="auto"/>
              <w:jc w:val="center"/>
            </w:pPr>
            <w:r>
              <w:rPr>
                <w:sz w:val="15"/>
                <w:szCs w:val="15"/>
              </w:rPr>
              <w:t>200</w:t>
            </w:r>
          </w:p>
        </w:tc>
        <w:tc>
          <w:tcPr>
            <w:tcW w:w="1131"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BCB7965" w14:textId="77777777" w:rsidR="000222BB" w:rsidRDefault="00BA1370">
            <w:pPr>
              <w:keepNext/>
              <w:spacing w:line="220" w:lineRule="auto"/>
              <w:jc w:val="center"/>
            </w:pPr>
            <w:r>
              <w:rPr>
                <w:sz w:val="15"/>
                <w:szCs w:val="15"/>
              </w:rPr>
              <w:t>59.5%</w:t>
            </w:r>
          </w:p>
        </w:tc>
        <w:tc>
          <w:tcPr>
            <w:tcW w:w="926"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7FD0204" w14:textId="77777777" w:rsidR="000222BB" w:rsidRDefault="00BA1370">
            <w:pPr>
              <w:keepNext/>
              <w:spacing w:line="220" w:lineRule="auto"/>
              <w:jc w:val="center"/>
            </w:pPr>
            <w:r>
              <w:rPr>
                <w:b/>
                <w:bCs/>
                <w:sz w:val="15"/>
                <w:szCs w:val="15"/>
              </w:rPr>
              <w:t>98.5%</w:t>
            </w:r>
          </w:p>
        </w:tc>
      </w:tr>
      <w:tr w:rsidR="000222BB" w14:paraId="21A8836A" w14:textId="77777777">
        <w:trPr>
          <w:cantSplit/>
          <w:jc w:val="center"/>
        </w:trPr>
        <w:tc>
          <w:tcPr>
            <w:tcW w:w="2263"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ABD7879" w14:textId="77777777" w:rsidR="000222BB" w:rsidRDefault="00BA1370">
            <w:pPr>
              <w:keepNext/>
              <w:spacing w:line="220" w:lineRule="auto"/>
            </w:pPr>
            <w:r>
              <w:rPr>
                <w:sz w:val="15"/>
                <w:szCs w:val="15"/>
              </w:rPr>
              <w:t>Invented metric names caught</w:t>
            </w:r>
          </w:p>
        </w:tc>
        <w:tc>
          <w:tcPr>
            <w:tcW w:w="7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1C389C2" w14:textId="77777777" w:rsidR="000222BB" w:rsidRDefault="00BA1370">
            <w:pPr>
              <w:keepNext/>
              <w:spacing w:line="220" w:lineRule="auto"/>
              <w:jc w:val="center"/>
            </w:pPr>
            <w:r>
              <w:rPr>
                <w:sz w:val="15"/>
                <w:szCs w:val="15"/>
              </w:rPr>
              <w:t>50</w:t>
            </w:r>
          </w:p>
        </w:tc>
        <w:tc>
          <w:tcPr>
            <w:tcW w:w="1131"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5889C1D" w14:textId="77777777" w:rsidR="000222BB" w:rsidRDefault="00BA1370">
            <w:pPr>
              <w:keepNext/>
              <w:spacing w:line="220" w:lineRule="auto"/>
              <w:jc w:val="center"/>
            </w:pPr>
            <w:r>
              <w:rPr>
                <w:rFonts w:ascii="Segoe UI Symbol" w:eastAsia="Segoe UI Symbol" w:hAnsi="Segoe UI Symbol" w:cs="Segoe UI Symbol"/>
                <w:sz w:val="15"/>
                <w:szCs w:val="15"/>
              </w:rPr>
              <w:t>—</w:t>
            </w:r>
          </w:p>
        </w:tc>
        <w:tc>
          <w:tcPr>
            <w:tcW w:w="926"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4D9C6B3" w14:textId="77777777" w:rsidR="000222BB" w:rsidRDefault="00BA1370">
            <w:pPr>
              <w:keepNext/>
              <w:spacing w:line="220" w:lineRule="auto"/>
              <w:jc w:val="center"/>
            </w:pPr>
            <w:r>
              <w:rPr>
                <w:b/>
                <w:bCs/>
                <w:sz w:val="15"/>
                <w:szCs w:val="15"/>
              </w:rPr>
              <w:t>100%</w:t>
            </w:r>
          </w:p>
        </w:tc>
      </w:tr>
      <w:tr w:rsidR="000222BB" w14:paraId="740A8ECF" w14:textId="77777777">
        <w:trPr>
          <w:cantSplit/>
          <w:jc w:val="center"/>
        </w:trPr>
        <w:tc>
          <w:tcPr>
            <w:tcW w:w="2263"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8C650CC" w14:textId="77777777" w:rsidR="000222BB" w:rsidRDefault="00BA1370">
            <w:pPr>
              <w:keepNext/>
              <w:spacing w:line="220" w:lineRule="auto"/>
            </w:pPr>
            <w:r>
              <w:rPr>
                <w:sz w:val="15"/>
                <w:szCs w:val="15"/>
              </w:rPr>
              <w:t>Faithful rounding accepted</w:t>
            </w:r>
          </w:p>
        </w:tc>
        <w:tc>
          <w:tcPr>
            <w:tcW w:w="7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B169367" w14:textId="77777777" w:rsidR="000222BB" w:rsidRDefault="00BA1370">
            <w:pPr>
              <w:keepNext/>
              <w:spacing w:line="220" w:lineRule="auto"/>
              <w:jc w:val="center"/>
            </w:pPr>
            <w:r>
              <w:rPr>
                <w:sz w:val="15"/>
                <w:szCs w:val="15"/>
              </w:rPr>
              <w:t>200</w:t>
            </w:r>
          </w:p>
        </w:tc>
        <w:tc>
          <w:tcPr>
            <w:tcW w:w="1131"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C21A279" w14:textId="77777777" w:rsidR="000222BB" w:rsidRDefault="00BA1370">
            <w:pPr>
              <w:keepNext/>
              <w:spacing w:line="220" w:lineRule="auto"/>
              <w:jc w:val="center"/>
            </w:pPr>
            <w:r>
              <w:rPr>
                <w:sz w:val="15"/>
                <w:szCs w:val="15"/>
              </w:rPr>
              <w:t>100%</w:t>
            </w:r>
          </w:p>
        </w:tc>
        <w:tc>
          <w:tcPr>
            <w:tcW w:w="926"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162BD71" w14:textId="77777777" w:rsidR="000222BB" w:rsidRDefault="00BA1370">
            <w:pPr>
              <w:keepNext/>
              <w:spacing w:line="220" w:lineRule="auto"/>
              <w:jc w:val="center"/>
            </w:pPr>
            <w:r>
              <w:rPr>
                <w:b/>
                <w:bCs/>
                <w:sz w:val="15"/>
                <w:szCs w:val="15"/>
              </w:rPr>
              <w:t>100%</w:t>
            </w:r>
          </w:p>
        </w:tc>
      </w:tr>
      <w:tr w:rsidR="000222BB" w14:paraId="77C0DE8A" w14:textId="77777777">
        <w:trPr>
          <w:cantSplit/>
          <w:jc w:val="center"/>
        </w:trPr>
        <w:tc>
          <w:tcPr>
            <w:tcW w:w="2263"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541597A7" w14:textId="77777777" w:rsidR="000222BB" w:rsidRDefault="00BA1370">
            <w:pPr>
              <w:spacing w:line="220" w:lineRule="auto"/>
            </w:pPr>
            <w:r>
              <w:rPr>
                <w:sz w:val="15"/>
                <w:szCs w:val="15"/>
              </w:rPr>
              <w:t>Faithful reports accepted</w:t>
            </w:r>
          </w:p>
        </w:tc>
        <w:tc>
          <w:tcPr>
            <w:tcW w:w="72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5B67D6A1" w14:textId="77777777" w:rsidR="000222BB" w:rsidRDefault="00BA1370">
            <w:pPr>
              <w:spacing w:line="220" w:lineRule="auto"/>
              <w:jc w:val="center"/>
            </w:pPr>
            <w:r>
              <w:rPr>
                <w:sz w:val="15"/>
                <w:szCs w:val="15"/>
              </w:rPr>
              <w:t>5</w:t>
            </w:r>
          </w:p>
        </w:tc>
        <w:tc>
          <w:tcPr>
            <w:tcW w:w="1131"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39A1CD15" w14:textId="77777777" w:rsidR="000222BB" w:rsidRDefault="00BA1370">
            <w:pPr>
              <w:spacing w:line="220" w:lineRule="auto"/>
              <w:jc w:val="center"/>
            </w:pPr>
            <w:r>
              <w:rPr>
                <w:sz w:val="15"/>
                <w:szCs w:val="15"/>
              </w:rPr>
              <w:t>100%</w:t>
            </w:r>
          </w:p>
        </w:tc>
        <w:tc>
          <w:tcPr>
            <w:tcW w:w="926"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0F457C5E" w14:textId="77777777" w:rsidR="000222BB" w:rsidRDefault="00BA1370">
            <w:pPr>
              <w:spacing w:line="220" w:lineRule="auto"/>
              <w:jc w:val="center"/>
            </w:pPr>
            <w:r>
              <w:rPr>
                <w:b/>
                <w:bCs/>
                <w:sz w:val="15"/>
                <w:szCs w:val="15"/>
              </w:rPr>
              <w:t>100%</w:t>
            </w:r>
          </w:p>
        </w:tc>
      </w:tr>
    </w:tbl>
    <w:p w14:paraId="3D263D68" w14:textId="77777777" w:rsidR="000222BB" w:rsidRDefault="000222BB">
      <w:pPr>
        <w:spacing w:after="100"/>
      </w:pPr>
    </w:p>
    <w:p w14:paraId="7F0EA08F" w14:textId="77777777" w:rsidR="000222BB" w:rsidRDefault="00BA1370">
      <w:pPr>
        <w:ind w:firstLine="202"/>
        <w:jc w:val="both"/>
      </w:pPr>
      <w:r>
        <w:t>Correct reports were corrupted by scaling and shifting one number, by renaming a metric, or by rounding a number to one decimal, which is faithful. A tolerance rule that accepts any value within 2% of a fact or with the same integer part caught only 59.5% of corrupted numbers, for instance accepting 7.03 for 6.71. Comparing at the written precision raised this to 98.5% (Table V), 39 points higher, so 96.3% fewer corrupted numbers reach a reader, without rejecting a single faithful rounding. In a live run on</w:t>
      </w:r>
      <w:r>
        <w:t xml:space="preserve"> simulated company data, an LLM served through the Groq API produced a report that passed on the first attempt (Fig. 5).</w:t>
      </w:r>
    </w:p>
    <w:p w14:paraId="6F328FB9" w14:textId="77777777" w:rsidR="000222BB" w:rsidRDefault="00BA1370">
      <w:pPr>
        <w:keepNext/>
        <w:spacing w:before="100" w:after="40"/>
      </w:pPr>
      <w:r>
        <w:rPr>
          <w:i/>
          <w:iCs/>
        </w:rPr>
        <w:t>E. Ingestion and Large-File Transfer</w:t>
      </w:r>
    </w:p>
    <w:p w14:paraId="01C09D21" w14:textId="77777777" w:rsidR="000222BB" w:rsidRDefault="00BA1370">
      <w:pPr>
        <w:keepNext/>
        <w:spacing w:before="120"/>
        <w:jc w:val="center"/>
      </w:pPr>
      <w:r>
        <w:rPr>
          <w:sz w:val="16"/>
          <w:szCs w:val="16"/>
        </w:rPr>
        <w:t>TABLE VI</w:t>
      </w:r>
    </w:p>
    <w:p w14:paraId="5558A446" w14:textId="77777777" w:rsidR="000222BB" w:rsidRDefault="00BA1370">
      <w:pPr>
        <w:keepNext/>
        <w:spacing w:after="60"/>
        <w:jc w:val="center"/>
      </w:pPr>
      <w:r>
        <w:rPr>
          <w:smallCaps/>
          <w:sz w:val="16"/>
          <w:szCs w:val="16"/>
        </w:rPr>
        <w:t>Moving a 2,000,000-row (105.6 MB) export</w:t>
      </w:r>
    </w:p>
    <w:tbl>
      <w:tblPr>
        <w:tblW w:w="5040" w:type="dxa"/>
        <w:jc w:val="center"/>
        <w:tblLook w:val="04A0" w:firstRow="1" w:lastRow="0" w:firstColumn="1" w:lastColumn="0" w:noHBand="0" w:noVBand="1"/>
      </w:tblPr>
      <w:tblGrid>
        <w:gridCol w:w="2415"/>
        <w:gridCol w:w="840"/>
        <w:gridCol w:w="945"/>
        <w:gridCol w:w="840"/>
      </w:tblGrid>
      <w:tr w:rsidR="000222BB" w14:paraId="4AA7804C" w14:textId="77777777">
        <w:trPr>
          <w:cantSplit/>
          <w:tblHeader/>
          <w:jc w:val="center"/>
        </w:trPr>
        <w:tc>
          <w:tcPr>
            <w:tcW w:w="2415"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44A2EE7E" w14:textId="77777777" w:rsidR="000222BB" w:rsidRDefault="00BA1370">
            <w:pPr>
              <w:keepNext/>
              <w:spacing w:line="220" w:lineRule="auto"/>
            </w:pPr>
            <w:r>
              <w:rPr>
                <w:b/>
                <w:bCs/>
                <w:sz w:val="15"/>
                <w:szCs w:val="15"/>
              </w:rPr>
              <w:t>Method</w:t>
            </w:r>
          </w:p>
        </w:tc>
        <w:tc>
          <w:tcPr>
            <w:tcW w:w="84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39A4392E" w14:textId="77777777" w:rsidR="000222BB" w:rsidRDefault="00BA1370">
            <w:pPr>
              <w:keepNext/>
              <w:spacing w:line="220" w:lineRule="auto"/>
              <w:jc w:val="center"/>
            </w:pPr>
            <w:r>
              <w:rPr>
                <w:b/>
                <w:bCs/>
                <w:sz w:val="15"/>
                <w:szCs w:val="15"/>
              </w:rPr>
              <w:t>Time (s)</w:t>
            </w:r>
          </w:p>
        </w:tc>
        <w:tc>
          <w:tcPr>
            <w:tcW w:w="945"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6C3278A5" w14:textId="77777777" w:rsidR="000222BB" w:rsidRDefault="00BA1370">
            <w:pPr>
              <w:keepNext/>
              <w:spacing w:line="220" w:lineRule="auto"/>
              <w:jc w:val="center"/>
            </w:pPr>
            <w:r>
              <w:rPr>
                <w:b/>
                <w:bCs/>
                <w:sz w:val="15"/>
                <w:szCs w:val="15"/>
              </w:rPr>
              <w:t>On wire</w:t>
            </w:r>
          </w:p>
        </w:tc>
        <w:tc>
          <w:tcPr>
            <w:tcW w:w="84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674B3119" w14:textId="77777777" w:rsidR="000222BB" w:rsidRDefault="00BA1370">
            <w:pPr>
              <w:keepNext/>
              <w:spacing w:line="220" w:lineRule="auto"/>
              <w:jc w:val="center"/>
            </w:pPr>
            <w:r>
              <w:rPr>
                <w:b/>
                <w:bCs/>
                <w:sz w:val="15"/>
                <w:szCs w:val="15"/>
              </w:rPr>
              <w:t>Speed-up</w:t>
            </w:r>
          </w:p>
        </w:tc>
      </w:tr>
      <w:tr w:rsidR="000222BB" w14:paraId="28329F8F" w14:textId="77777777">
        <w:trPr>
          <w:cantSplit/>
          <w:jc w:val="center"/>
        </w:trPr>
        <w:tc>
          <w:tcPr>
            <w:tcW w:w="2415"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6F1B2E3" w14:textId="77777777" w:rsidR="000222BB" w:rsidRDefault="00BA1370">
            <w:pPr>
              <w:keepNext/>
              <w:spacing w:line="220" w:lineRule="auto"/>
            </w:pPr>
            <w:r>
              <w:rPr>
                <w:sz w:val="15"/>
                <w:szCs w:val="15"/>
              </w:rPr>
              <w:t>FTP, raw CSV</w:t>
            </w:r>
          </w:p>
        </w:tc>
        <w:tc>
          <w:tcPr>
            <w:tcW w:w="8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16868AF" w14:textId="77777777" w:rsidR="000222BB" w:rsidRDefault="00BA1370">
            <w:pPr>
              <w:keepNext/>
              <w:spacing w:line="220" w:lineRule="auto"/>
              <w:jc w:val="center"/>
            </w:pPr>
            <w:r>
              <w:rPr>
                <w:sz w:val="15"/>
                <w:szCs w:val="15"/>
              </w:rPr>
              <w:t>16.90</w:t>
            </w:r>
          </w:p>
        </w:tc>
        <w:tc>
          <w:tcPr>
            <w:tcW w:w="945"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D84E096" w14:textId="77777777" w:rsidR="000222BB" w:rsidRDefault="00BA1370">
            <w:pPr>
              <w:keepNext/>
              <w:spacing w:line="220" w:lineRule="auto"/>
              <w:jc w:val="center"/>
            </w:pPr>
            <w:r>
              <w:rPr>
                <w:sz w:val="15"/>
                <w:szCs w:val="15"/>
              </w:rPr>
              <w:t>105.6 MB</w:t>
            </w:r>
          </w:p>
        </w:tc>
        <w:tc>
          <w:tcPr>
            <w:tcW w:w="8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DA89A41" w14:textId="77777777" w:rsidR="000222BB" w:rsidRDefault="00BA1370">
            <w:pPr>
              <w:keepNext/>
              <w:spacing w:line="220" w:lineRule="auto"/>
              <w:jc w:val="center"/>
            </w:pPr>
            <w:r>
              <w:rPr>
                <w:sz w:val="15"/>
                <w:szCs w:val="15"/>
              </w:rPr>
              <w:t>1.0×</w:t>
            </w:r>
          </w:p>
        </w:tc>
      </w:tr>
      <w:tr w:rsidR="000222BB" w14:paraId="7FC57ECB" w14:textId="77777777">
        <w:trPr>
          <w:cantSplit/>
          <w:jc w:val="center"/>
        </w:trPr>
        <w:tc>
          <w:tcPr>
            <w:tcW w:w="2415"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91FF2A9" w14:textId="77777777" w:rsidR="000222BB" w:rsidRDefault="00BA1370">
            <w:pPr>
              <w:keepNext/>
              <w:spacing w:line="220" w:lineRule="auto"/>
            </w:pPr>
            <w:r>
              <w:rPr>
                <w:sz w:val="15"/>
                <w:szCs w:val="15"/>
              </w:rPr>
              <w:t>FTP, gzip CSV</w:t>
            </w:r>
          </w:p>
        </w:tc>
        <w:tc>
          <w:tcPr>
            <w:tcW w:w="8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9AD22B3" w14:textId="77777777" w:rsidR="000222BB" w:rsidRDefault="00BA1370">
            <w:pPr>
              <w:keepNext/>
              <w:spacing w:line="220" w:lineRule="auto"/>
              <w:jc w:val="center"/>
            </w:pPr>
            <w:r>
              <w:rPr>
                <w:sz w:val="15"/>
                <w:szCs w:val="15"/>
              </w:rPr>
              <w:t>9.18</w:t>
            </w:r>
          </w:p>
        </w:tc>
        <w:tc>
          <w:tcPr>
            <w:tcW w:w="945"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218F6AF" w14:textId="77777777" w:rsidR="000222BB" w:rsidRDefault="00BA1370">
            <w:pPr>
              <w:keepNext/>
              <w:spacing w:line="220" w:lineRule="auto"/>
              <w:jc w:val="center"/>
            </w:pPr>
            <w:r>
              <w:rPr>
                <w:sz w:val="15"/>
                <w:szCs w:val="15"/>
              </w:rPr>
              <w:t>27.1 MB</w:t>
            </w:r>
          </w:p>
        </w:tc>
        <w:tc>
          <w:tcPr>
            <w:tcW w:w="8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2BC6041" w14:textId="77777777" w:rsidR="000222BB" w:rsidRDefault="00BA1370">
            <w:pPr>
              <w:keepNext/>
              <w:spacing w:line="220" w:lineRule="auto"/>
              <w:jc w:val="center"/>
            </w:pPr>
            <w:r>
              <w:rPr>
                <w:sz w:val="15"/>
                <w:szCs w:val="15"/>
              </w:rPr>
              <w:t>1.8×</w:t>
            </w:r>
          </w:p>
        </w:tc>
      </w:tr>
      <w:tr w:rsidR="000222BB" w14:paraId="06E2583B" w14:textId="77777777">
        <w:trPr>
          <w:cantSplit/>
          <w:jc w:val="center"/>
        </w:trPr>
        <w:tc>
          <w:tcPr>
            <w:tcW w:w="2415" w:type="dxa"/>
            <w:tcBorders>
              <w:top w:val="none" w:sz="0" w:space="0" w:color="FFFFFF"/>
              <w:left w:val="none" w:sz="0" w:space="0" w:color="FFFFFF"/>
              <w:bottom w:val="none" w:sz="0" w:space="0" w:color="FFFFFF"/>
              <w:right w:val="none" w:sz="0" w:space="0" w:color="FFFFFF"/>
            </w:tcBorders>
            <w:shd w:val="clear" w:color="auto" w:fill="E8E8E8"/>
            <w:tcMar>
              <w:top w:w="20" w:type="dxa"/>
              <w:left w:w="50" w:type="dxa"/>
              <w:bottom w:w="20" w:type="dxa"/>
              <w:right w:w="50" w:type="dxa"/>
            </w:tcMar>
          </w:tcPr>
          <w:p w14:paraId="569E2223" w14:textId="77777777" w:rsidR="000222BB" w:rsidRDefault="00BA1370">
            <w:pPr>
              <w:keepNext/>
              <w:spacing w:line="220" w:lineRule="auto"/>
            </w:pPr>
            <w:r>
              <w:rPr>
                <w:b/>
                <w:bCs/>
                <w:sz w:val="15"/>
                <w:szCs w:val="15"/>
              </w:rPr>
              <w:t>KAIROS Fast Transfer (gzip)</w:t>
            </w:r>
          </w:p>
        </w:tc>
        <w:tc>
          <w:tcPr>
            <w:tcW w:w="840" w:type="dxa"/>
            <w:tcBorders>
              <w:top w:val="none" w:sz="0" w:space="0" w:color="FFFFFF"/>
              <w:left w:val="none" w:sz="0" w:space="0" w:color="FFFFFF"/>
              <w:bottom w:val="none" w:sz="0" w:space="0" w:color="FFFFFF"/>
              <w:right w:val="none" w:sz="0" w:space="0" w:color="FFFFFF"/>
            </w:tcBorders>
            <w:shd w:val="clear" w:color="auto" w:fill="E8E8E8"/>
            <w:tcMar>
              <w:top w:w="20" w:type="dxa"/>
              <w:left w:w="50" w:type="dxa"/>
              <w:bottom w:w="20" w:type="dxa"/>
              <w:right w:w="50" w:type="dxa"/>
            </w:tcMar>
          </w:tcPr>
          <w:p w14:paraId="0B90843E" w14:textId="77777777" w:rsidR="000222BB" w:rsidRDefault="00BA1370">
            <w:pPr>
              <w:keepNext/>
              <w:spacing w:line="220" w:lineRule="auto"/>
              <w:jc w:val="center"/>
            </w:pPr>
            <w:r>
              <w:rPr>
                <w:b/>
                <w:bCs/>
                <w:sz w:val="15"/>
                <w:szCs w:val="15"/>
              </w:rPr>
              <w:t>2.76</w:t>
            </w:r>
          </w:p>
        </w:tc>
        <w:tc>
          <w:tcPr>
            <w:tcW w:w="945" w:type="dxa"/>
            <w:tcBorders>
              <w:top w:val="none" w:sz="0" w:space="0" w:color="FFFFFF"/>
              <w:left w:val="none" w:sz="0" w:space="0" w:color="FFFFFF"/>
              <w:bottom w:val="none" w:sz="0" w:space="0" w:color="FFFFFF"/>
              <w:right w:val="none" w:sz="0" w:space="0" w:color="FFFFFF"/>
            </w:tcBorders>
            <w:shd w:val="clear" w:color="auto" w:fill="E8E8E8"/>
            <w:tcMar>
              <w:top w:w="20" w:type="dxa"/>
              <w:left w:w="50" w:type="dxa"/>
              <w:bottom w:w="20" w:type="dxa"/>
              <w:right w:w="50" w:type="dxa"/>
            </w:tcMar>
          </w:tcPr>
          <w:p w14:paraId="422DE4BD" w14:textId="77777777" w:rsidR="000222BB" w:rsidRDefault="00BA1370">
            <w:pPr>
              <w:keepNext/>
              <w:spacing w:line="220" w:lineRule="auto"/>
              <w:jc w:val="center"/>
            </w:pPr>
            <w:r>
              <w:rPr>
                <w:sz w:val="15"/>
                <w:szCs w:val="15"/>
              </w:rPr>
              <w:t>27.1 MB</w:t>
            </w:r>
          </w:p>
        </w:tc>
        <w:tc>
          <w:tcPr>
            <w:tcW w:w="840" w:type="dxa"/>
            <w:tcBorders>
              <w:top w:val="none" w:sz="0" w:space="0" w:color="FFFFFF"/>
              <w:left w:val="none" w:sz="0" w:space="0" w:color="FFFFFF"/>
              <w:bottom w:val="none" w:sz="0" w:space="0" w:color="FFFFFF"/>
              <w:right w:val="none" w:sz="0" w:space="0" w:color="FFFFFF"/>
            </w:tcBorders>
            <w:shd w:val="clear" w:color="auto" w:fill="E8E8E8"/>
            <w:tcMar>
              <w:top w:w="20" w:type="dxa"/>
              <w:left w:w="50" w:type="dxa"/>
              <w:bottom w:w="20" w:type="dxa"/>
              <w:right w:w="50" w:type="dxa"/>
            </w:tcMar>
          </w:tcPr>
          <w:p w14:paraId="75ACF28F" w14:textId="77777777" w:rsidR="000222BB" w:rsidRDefault="00BA1370">
            <w:pPr>
              <w:keepNext/>
              <w:spacing w:line="220" w:lineRule="auto"/>
              <w:jc w:val="center"/>
            </w:pPr>
            <w:r>
              <w:rPr>
                <w:b/>
                <w:bCs/>
                <w:sz w:val="15"/>
                <w:szCs w:val="15"/>
              </w:rPr>
              <w:t>6.1×</w:t>
            </w:r>
          </w:p>
        </w:tc>
      </w:tr>
      <w:tr w:rsidR="000222BB" w14:paraId="0F8C7805" w14:textId="77777777">
        <w:trPr>
          <w:cantSplit/>
          <w:jc w:val="center"/>
        </w:trPr>
        <w:tc>
          <w:tcPr>
            <w:tcW w:w="2415" w:type="dxa"/>
            <w:tcBorders>
              <w:top w:val="none" w:sz="0" w:space="0" w:color="FFFFFF"/>
              <w:left w:val="none" w:sz="0" w:space="0" w:color="FFFFFF"/>
              <w:bottom w:val="none" w:sz="0" w:space="0" w:color="FFFFFF"/>
              <w:right w:val="none" w:sz="0" w:space="0" w:color="FFFFFF"/>
            </w:tcBorders>
            <w:shd w:val="clear" w:color="auto" w:fill="E8E8E8"/>
            <w:tcMar>
              <w:top w:w="20" w:type="dxa"/>
              <w:left w:w="50" w:type="dxa"/>
              <w:bottom w:w="20" w:type="dxa"/>
              <w:right w:w="50" w:type="dxa"/>
            </w:tcMar>
          </w:tcPr>
          <w:p w14:paraId="345F81B6" w14:textId="77777777" w:rsidR="000222BB" w:rsidRDefault="00BA1370">
            <w:pPr>
              <w:keepNext/>
              <w:spacing w:line="220" w:lineRule="auto"/>
            </w:pPr>
            <w:r>
              <w:rPr>
                <w:b/>
                <w:bCs/>
                <w:sz w:val="15"/>
                <w:szCs w:val="15"/>
              </w:rPr>
              <w:t>KAIROS Fast Transfer (zstd)</w:t>
            </w:r>
          </w:p>
        </w:tc>
        <w:tc>
          <w:tcPr>
            <w:tcW w:w="840" w:type="dxa"/>
            <w:tcBorders>
              <w:top w:val="none" w:sz="0" w:space="0" w:color="FFFFFF"/>
              <w:left w:val="none" w:sz="0" w:space="0" w:color="FFFFFF"/>
              <w:bottom w:val="none" w:sz="0" w:space="0" w:color="FFFFFF"/>
              <w:right w:val="none" w:sz="0" w:space="0" w:color="FFFFFF"/>
            </w:tcBorders>
            <w:shd w:val="clear" w:color="auto" w:fill="E8E8E8"/>
            <w:tcMar>
              <w:top w:w="20" w:type="dxa"/>
              <w:left w:w="50" w:type="dxa"/>
              <w:bottom w:w="20" w:type="dxa"/>
              <w:right w:w="50" w:type="dxa"/>
            </w:tcMar>
          </w:tcPr>
          <w:p w14:paraId="4EFFF863" w14:textId="77777777" w:rsidR="000222BB" w:rsidRDefault="00BA1370">
            <w:pPr>
              <w:keepNext/>
              <w:spacing w:line="220" w:lineRule="auto"/>
              <w:jc w:val="center"/>
            </w:pPr>
            <w:r>
              <w:rPr>
                <w:b/>
                <w:bCs/>
                <w:sz w:val="15"/>
                <w:szCs w:val="15"/>
              </w:rPr>
              <w:t>2.63</w:t>
            </w:r>
          </w:p>
        </w:tc>
        <w:tc>
          <w:tcPr>
            <w:tcW w:w="945" w:type="dxa"/>
            <w:tcBorders>
              <w:top w:val="none" w:sz="0" w:space="0" w:color="FFFFFF"/>
              <w:left w:val="none" w:sz="0" w:space="0" w:color="FFFFFF"/>
              <w:bottom w:val="none" w:sz="0" w:space="0" w:color="FFFFFF"/>
              <w:right w:val="none" w:sz="0" w:space="0" w:color="FFFFFF"/>
            </w:tcBorders>
            <w:shd w:val="clear" w:color="auto" w:fill="E8E8E8"/>
            <w:tcMar>
              <w:top w:w="20" w:type="dxa"/>
              <w:left w:w="50" w:type="dxa"/>
              <w:bottom w:w="20" w:type="dxa"/>
              <w:right w:w="50" w:type="dxa"/>
            </w:tcMar>
          </w:tcPr>
          <w:p w14:paraId="4CE8BC90" w14:textId="77777777" w:rsidR="000222BB" w:rsidRDefault="00BA1370">
            <w:pPr>
              <w:keepNext/>
              <w:spacing w:line="220" w:lineRule="auto"/>
              <w:jc w:val="center"/>
            </w:pPr>
            <w:r>
              <w:rPr>
                <w:sz w:val="15"/>
                <w:szCs w:val="15"/>
              </w:rPr>
              <w:t>29.4 MB</w:t>
            </w:r>
          </w:p>
        </w:tc>
        <w:tc>
          <w:tcPr>
            <w:tcW w:w="840" w:type="dxa"/>
            <w:tcBorders>
              <w:top w:val="none" w:sz="0" w:space="0" w:color="FFFFFF"/>
              <w:left w:val="none" w:sz="0" w:space="0" w:color="FFFFFF"/>
              <w:bottom w:val="none" w:sz="0" w:space="0" w:color="FFFFFF"/>
              <w:right w:val="none" w:sz="0" w:space="0" w:color="FFFFFF"/>
            </w:tcBorders>
            <w:shd w:val="clear" w:color="auto" w:fill="E8E8E8"/>
            <w:tcMar>
              <w:top w:w="20" w:type="dxa"/>
              <w:left w:w="50" w:type="dxa"/>
              <w:bottom w:w="20" w:type="dxa"/>
              <w:right w:w="50" w:type="dxa"/>
            </w:tcMar>
          </w:tcPr>
          <w:p w14:paraId="1796CEE9" w14:textId="77777777" w:rsidR="000222BB" w:rsidRDefault="00BA1370">
            <w:pPr>
              <w:keepNext/>
              <w:spacing w:line="220" w:lineRule="auto"/>
              <w:jc w:val="center"/>
            </w:pPr>
            <w:r>
              <w:rPr>
                <w:b/>
                <w:bCs/>
                <w:sz w:val="15"/>
                <w:szCs w:val="15"/>
              </w:rPr>
              <w:t>6.4×</w:t>
            </w:r>
          </w:p>
        </w:tc>
      </w:tr>
      <w:tr w:rsidR="000222BB" w14:paraId="6881D0D6" w14:textId="77777777">
        <w:trPr>
          <w:cantSplit/>
          <w:jc w:val="center"/>
        </w:trPr>
        <w:tc>
          <w:tcPr>
            <w:tcW w:w="2415"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AE51436" w14:textId="77777777" w:rsidR="000222BB" w:rsidRDefault="00BA1370">
            <w:pPr>
              <w:keepNext/>
              <w:spacing w:line="220" w:lineRule="auto"/>
            </w:pPr>
            <w:r>
              <w:rPr>
                <w:b/>
                <w:bCs/>
                <w:sz w:val="15"/>
                <w:szCs w:val="15"/>
              </w:rPr>
              <w:t>Fast Transfer, resumed after a 50% drop</w:t>
            </w:r>
          </w:p>
        </w:tc>
        <w:tc>
          <w:tcPr>
            <w:tcW w:w="8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1451E87" w14:textId="77777777" w:rsidR="000222BB" w:rsidRDefault="00BA1370">
            <w:pPr>
              <w:keepNext/>
              <w:spacing w:line="220" w:lineRule="auto"/>
              <w:jc w:val="center"/>
            </w:pPr>
            <w:r>
              <w:rPr>
                <w:sz w:val="15"/>
                <w:szCs w:val="15"/>
              </w:rPr>
              <w:t>1.65</w:t>
            </w:r>
          </w:p>
        </w:tc>
        <w:tc>
          <w:tcPr>
            <w:tcW w:w="945"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3B102C0" w14:textId="77777777" w:rsidR="000222BB" w:rsidRDefault="00BA1370">
            <w:pPr>
              <w:keepNext/>
              <w:spacing w:line="220" w:lineRule="auto"/>
              <w:jc w:val="center"/>
            </w:pPr>
            <w:r>
              <w:rPr>
                <w:sz w:val="15"/>
                <w:szCs w:val="15"/>
              </w:rPr>
              <w:t>13.6 MB</w:t>
            </w:r>
          </w:p>
        </w:tc>
        <w:tc>
          <w:tcPr>
            <w:tcW w:w="8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8C35432" w14:textId="77777777" w:rsidR="000222BB" w:rsidRDefault="00BA1370">
            <w:pPr>
              <w:keepNext/>
              <w:spacing w:line="220" w:lineRule="auto"/>
              <w:jc w:val="center"/>
            </w:pPr>
            <w:r>
              <w:rPr>
                <w:sz w:val="15"/>
                <w:szCs w:val="15"/>
              </w:rPr>
              <w:t>10.2×</w:t>
            </w:r>
          </w:p>
        </w:tc>
      </w:tr>
      <w:tr w:rsidR="000222BB" w14:paraId="214E6CDF" w14:textId="77777777">
        <w:trPr>
          <w:cantSplit/>
          <w:jc w:val="center"/>
        </w:trPr>
        <w:tc>
          <w:tcPr>
            <w:tcW w:w="2415" w:type="dxa"/>
            <w:tcBorders>
              <w:top w:val="none" w:sz="0" w:space="0" w:color="FFFFFF"/>
              <w:left w:val="none" w:sz="0" w:space="0" w:color="FFFFFF"/>
              <w:bottom w:val="single" w:sz="4" w:space="0" w:color="000000"/>
              <w:right w:val="none" w:sz="0" w:space="0" w:color="FFFFFF"/>
            </w:tcBorders>
            <w:shd w:val="clear" w:color="auto" w:fill="E8E8E8"/>
            <w:tcMar>
              <w:top w:w="20" w:type="dxa"/>
              <w:left w:w="50" w:type="dxa"/>
              <w:bottom w:w="20" w:type="dxa"/>
              <w:right w:w="50" w:type="dxa"/>
            </w:tcMar>
          </w:tcPr>
          <w:p w14:paraId="5735974E" w14:textId="77777777" w:rsidR="000222BB" w:rsidRDefault="00BA1370">
            <w:pPr>
              <w:spacing w:line="220" w:lineRule="auto"/>
            </w:pPr>
            <w:r>
              <w:rPr>
                <w:b/>
                <w:bCs/>
                <w:sz w:val="15"/>
                <w:szCs w:val="15"/>
              </w:rPr>
              <w:t>KAIROS edge agent (KPIs only)</w:t>
            </w:r>
          </w:p>
        </w:tc>
        <w:tc>
          <w:tcPr>
            <w:tcW w:w="840" w:type="dxa"/>
            <w:tcBorders>
              <w:top w:val="none" w:sz="0" w:space="0" w:color="FFFFFF"/>
              <w:left w:val="none" w:sz="0" w:space="0" w:color="FFFFFF"/>
              <w:bottom w:val="single" w:sz="4" w:space="0" w:color="000000"/>
              <w:right w:val="none" w:sz="0" w:space="0" w:color="FFFFFF"/>
            </w:tcBorders>
            <w:shd w:val="clear" w:color="auto" w:fill="E8E8E8"/>
            <w:tcMar>
              <w:top w:w="20" w:type="dxa"/>
              <w:left w:w="50" w:type="dxa"/>
              <w:bottom w:w="20" w:type="dxa"/>
              <w:right w:w="50" w:type="dxa"/>
            </w:tcMar>
          </w:tcPr>
          <w:p w14:paraId="3DFA64F3" w14:textId="77777777" w:rsidR="000222BB" w:rsidRDefault="00BA1370">
            <w:pPr>
              <w:spacing w:line="220" w:lineRule="auto"/>
              <w:jc w:val="center"/>
            </w:pPr>
            <w:r>
              <w:rPr>
                <w:b/>
                <w:bCs/>
                <w:sz w:val="15"/>
                <w:szCs w:val="15"/>
              </w:rPr>
              <w:t>1.34</w:t>
            </w:r>
          </w:p>
        </w:tc>
        <w:tc>
          <w:tcPr>
            <w:tcW w:w="945" w:type="dxa"/>
            <w:tcBorders>
              <w:top w:val="none" w:sz="0" w:space="0" w:color="FFFFFF"/>
              <w:left w:val="none" w:sz="0" w:space="0" w:color="FFFFFF"/>
              <w:bottom w:val="single" w:sz="4" w:space="0" w:color="000000"/>
              <w:right w:val="none" w:sz="0" w:space="0" w:color="FFFFFF"/>
            </w:tcBorders>
            <w:shd w:val="clear" w:color="auto" w:fill="E8E8E8"/>
            <w:tcMar>
              <w:top w:w="20" w:type="dxa"/>
              <w:left w:w="50" w:type="dxa"/>
              <w:bottom w:w="20" w:type="dxa"/>
              <w:right w:w="50" w:type="dxa"/>
            </w:tcMar>
          </w:tcPr>
          <w:p w14:paraId="49FFA168" w14:textId="77777777" w:rsidR="000222BB" w:rsidRDefault="00BA1370">
            <w:pPr>
              <w:spacing w:line="220" w:lineRule="auto"/>
              <w:jc w:val="center"/>
            </w:pPr>
            <w:r>
              <w:rPr>
                <w:b/>
                <w:bCs/>
                <w:sz w:val="15"/>
                <w:szCs w:val="15"/>
              </w:rPr>
              <w:t>192.7 KB</w:t>
            </w:r>
          </w:p>
        </w:tc>
        <w:tc>
          <w:tcPr>
            <w:tcW w:w="840" w:type="dxa"/>
            <w:tcBorders>
              <w:top w:val="none" w:sz="0" w:space="0" w:color="FFFFFF"/>
              <w:left w:val="none" w:sz="0" w:space="0" w:color="FFFFFF"/>
              <w:bottom w:val="single" w:sz="4" w:space="0" w:color="000000"/>
              <w:right w:val="none" w:sz="0" w:space="0" w:color="FFFFFF"/>
            </w:tcBorders>
            <w:shd w:val="clear" w:color="auto" w:fill="E8E8E8"/>
            <w:tcMar>
              <w:top w:w="20" w:type="dxa"/>
              <w:left w:w="50" w:type="dxa"/>
              <w:bottom w:w="20" w:type="dxa"/>
              <w:right w:w="50" w:type="dxa"/>
            </w:tcMar>
          </w:tcPr>
          <w:p w14:paraId="6EDFF888" w14:textId="77777777" w:rsidR="000222BB" w:rsidRDefault="00BA1370">
            <w:pPr>
              <w:spacing w:line="220" w:lineRule="auto"/>
              <w:jc w:val="center"/>
            </w:pPr>
            <w:r>
              <w:rPr>
                <w:b/>
                <w:bCs/>
                <w:sz w:val="15"/>
                <w:szCs w:val="15"/>
              </w:rPr>
              <w:t>12.6×</w:t>
            </w:r>
          </w:p>
        </w:tc>
      </w:tr>
    </w:tbl>
    <w:p w14:paraId="58B37D67" w14:textId="77777777" w:rsidR="000222BB" w:rsidRDefault="000222BB">
      <w:pPr>
        <w:spacing w:after="100"/>
      </w:pPr>
    </w:p>
    <w:p w14:paraId="78DEC2D0" w14:textId="77777777" w:rsidR="000222BB" w:rsidRDefault="00BA1370">
      <w:pPr>
        <w:ind w:firstLine="202"/>
        <w:jc w:val="both"/>
        <w:sectPr w:rsidR="000222BB">
          <w:type w:val="continuous"/>
          <w:pgSz w:w="12240" w:h="15840"/>
          <w:pgMar w:top="1080" w:right="900" w:bottom="1440" w:left="900" w:header="708" w:footer="708" w:gutter="0"/>
          <w:cols w:num="2" w:space="360"/>
          <w:docGrid w:linePitch="360"/>
        </w:sectPr>
      </w:pPr>
      <w:r>
        <w:t>Table VI and Fig. 2(b) show that Fast Transfer cut the transfer time by 83.7% compared with plain FTP and was 3.3 times faster than FTP with compression, while sending 74.3% fewer bytes and verifying every chunk with SHA-256. After a connection was dropped halfway, only the 14 missing chunks out of 27 were sent again. When only KPIs are needed, the edge agent reduced 2,000,000 rows to 2,160 KPI records and the bytes on the wire by 99.8%.</w:t>
      </w:r>
    </w:p>
    <w:p w14:paraId="14E4A312" w14:textId="77777777" w:rsidR="000222BB" w:rsidRDefault="00BA1370">
      <w:pPr>
        <w:keepNext/>
        <w:spacing w:before="100" w:after="40"/>
        <w:jc w:val="center"/>
      </w:pPr>
      <w:r>
        <w:rPr>
          <w:noProof/>
        </w:rPr>
        <w:drawing>
          <wp:inline distT="0" distB="0" distL="0" distR="0" wp14:anchorId="23CBEEDF" wp14:editId="6197A173">
            <wp:extent cx="512445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3086100"/>
                    </a:xfrm>
                    <a:prstGeom prst="rect">
                      <a:avLst/>
                    </a:prstGeom>
                  </pic:spPr>
                </pic:pic>
              </a:graphicData>
            </a:graphic>
          </wp:inline>
        </w:drawing>
      </w:r>
    </w:p>
    <w:p w14:paraId="2250A69C" w14:textId="77777777" w:rsidR="000222BB" w:rsidRDefault="00BA1370">
      <w:pPr>
        <w:spacing w:after="120"/>
        <w:jc w:val="center"/>
        <w:sectPr w:rsidR="000222BB">
          <w:type w:val="continuous"/>
          <w:pgSz w:w="12240" w:h="15840"/>
          <w:pgMar w:top="1080" w:right="900" w:bottom="1440" w:left="900" w:header="708" w:footer="708" w:gutter="0"/>
          <w:cols w:space="720"/>
          <w:docGrid w:linePitch="360"/>
        </w:sectPr>
      </w:pPr>
      <w:r>
        <w:rPr>
          <w:sz w:val="16"/>
          <w:szCs w:val="16"/>
        </w:rPr>
        <w:t xml:space="preserve">Fig. 5. </w:t>
      </w:r>
      <w:r>
        <w:rPr>
          <w:sz w:val="16"/>
          <w:szCs w:val="16"/>
        </w:rPr>
        <w:t>Reports &amp; Alerts page: an executive report written by an LLM and marked as verified by the LLM-Modulo critic, with delivery channels and the de-duplicated alert history.</w:t>
      </w:r>
    </w:p>
    <w:p w14:paraId="0B146393" w14:textId="77777777" w:rsidR="000222BB" w:rsidRDefault="00BA1370">
      <w:pPr>
        <w:keepNext/>
        <w:spacing w:before="160" w:after="80"/>
        <w:jc w:val="center"/>
      </w:pPr>
      <w:r>
        <w:rPr>
          <w:smallCaps/>
        </w:rPr>
        <w:t>VIII. Discussion</w:t>
      </w:r>
    </w:p>
    <w:p w14:paraId="283CBB05" w14:textId="77777777" w:rsidR="000222BB" w:rsidRDefault="00BA1370">
      <w:pPr>
        <w:ind w:firstLine="202"/>
        <w:jc w:val="both"/>
      </w:pPr>
      <w:r>
        <w:t xml:space="preserve">The results show that a causal graph turns a list of correlated anomalies into a short, ordered explanation that matches the analyst's question: </w:t>
      </w:r>
      <w:r>
        <w:rPr>
          <w:i/>
          <w:iCs/>
        </w:rPr>
        <w:t>what moved first?</w:t>
      </w:r>
      <w:r>
        <w:t xml:space="preserve"> The quality of the graph decides the quality of the answer. With the same ranking, the precise DYNOTEARS graph gave 100% exact origins, while graphs with spurious edges gave 40–60%, and simple heuristics were misled by large downstream effects or unrelated early anomalies. These are the situations that a manager meets every day, which is why a correlation-based dashboard often points to the symptom rather than the cause.</w:t>
      </w:r>
    </w:p>
    <w:p w14:paraId="3CDF86A2" w14:textId="77777777" w:rsidR="000222BB" w:rsidRDefault="00BA1370">
      <w:pPr>
        <w:ind w:firstLine="202"/>
        <w:jc w:val="both"/>
      </w:pPr>
      <w:r>
        <w:t>The verifier makes the plain-language report safe to send: the LLM supplies the wording, but every number and metric name is checked against computed facts, so a manager never acts on an invented figure. The ingestion layer keeps the cost close to zero, since one adapter per protocol replaces paid per-product connectors and Fast Transfer replaces slow FTP uploads. The complete cycle, from new data to a verified alert, finishes in a few seconds on a laptop, against hours of manual dashboard tracing.</w:t>
      </w:r>
    </w:p>
    <w:p w14:paraId="663CCA31" w14:textId="77777777" w:rsidR="000222BB" w:rsidRDefault="00BA1370">
      <w:pPr>
        <w:keepNext/>
        <w:spacing w:before="160" w:after="80"/>
        <w:jc w:val="center"/>
      </w:pPr>
      <w:r>
        <w:rPr>
          <w:smallCaps/>
        </w:rPr>
        <w:t>IX. Future Scope</w:t>
      </w:r>
    </w:p>
    <w:p w14:paraId="4525B5BB" w14:textId="77777777" w:rsidR="000222BB" w:rsidRDefault="00BA1370">
      <w:pPr>
        <w:jc w:val="both"/>
      </w:pPr>
      <w:r>
        <w:t>KAIROS can be extended in several directions:</w:t>
      </w:r>
    </w:p>
    <w:p w14:paraId="52B9B168" w14:textId="77777777" w:rsidR="000222BB" w:rsidRDefault="00BA1370">
      <w:pPr>
        <w:pStyle w:val="ListParagraph"/>
        <w:numPr>
          <w:ilvl w:val="0"/>
          <w:numId w:val="2"/>
        </w:numPr>
        <w:jc w:val="both"/>
      </w:pPr>
      <w:r>
        <w:rPr>
          <w:b/>
          <w:bCs/>
        </w:rPr>
        <w:t>Nonlinear and confounder-aware discovery</w:t>
      </w:r>
      <w:r>
        <w:t xml:space="preserve"> with PCMCI [24], TCDF [26] and FCI-style search, so that the graph also captures threshold and saturation effects;</w:t>
      </w:r>
    </w:p>
    <w:p w14:paraId="38D7C0E4" w14:textId="77777777" w:rsidR="000222BB" w:rsidRDefault="00BA1370">
      <w:pPr>
        <w:pStyle w:val="ListParagraph"/>
        <w:numPr>
          <w:ilvl w:val="0"/>
          <w:numId w:val="2"/>
        </w:numPr>
        <w:jc w:val="both"/>
      </w:pPr>
      <w:r>
        <w:rPr>
          <w:b/>
          <w:bCs/>
        </w:rPr>
        <w:t>Pilot deployments</w:t>
      </w:r>
      <w:r>
        <w:t xml:space="preserve"> with partner companies and public e-commerce data, with a study of how much faster managers act on KAIROS alerts;</w:t>
      </w:r>
    </w:p>
    <w:p w14:paraId="480FCA10" w14:textId="77777777" w:rsidR="000222BB" w:rsidRDefault="00BA1370">
      <w:pPr>
        <w:pStyle w:val="ListParagraph"/>
        <w:numPr>
          <w:ilvl w:val="0"/>
          <w:numId w:val="2"/>
        </w:numPr>
        <w:jc w:val="both"/>
      </w:pPr>
      <w:r>
        <w:rPr>
          <w:b/>
          <w:bCs/>
        </w:rPr>
        <w:t>Claim-level verification</w:t>
      </w:r>
      <w:r>
        <w:t xml:space="preserve"> that checks qualitative statements, such as severity words and causal claims, building on recent fact-checking research [44], [43];</w:t>
      </w:r>
    </w:p>
    <w:p w14:paraId="20C79C7C" w14:textId="77777777" w:rsidR="000222BB" w:rsidRDefault="00BA1370">
      <w:pPr>
        <w:pStyle w:val="ListParagraph"/>
        <w:numPr>
          <w:ilvl w:val="0"/>
          <w:numId w:val="2"/>
        </w:numPr>
        <w:jc w:val="both"/>
      </w:pPr>
      <w:r>
        <w:rPr>
          <w:b/>
          <w:bCs/>
        </w:rPr>
        <w:t>Drill-down by dimension</w:t>
      </w:r>
      <w:r>
        <w:t>, combining the causal graph with HotSpot-style localisation [34] to say both which metric and which region or product caused a change;</w:t>
      </w:r>
    </w:p>
    <w:p w14:paraId="24CAFE44" w14:textId="77777777" w:rsidR="000222BB" w:rsidRDefault="00BA1370">
      <w:pPr>
        <w:pStyle w:val="ListParagraph"/>
        <w:numPr>
          <w:ilvl w:val="0"/>
          <w:numId w:val="2"/>
        </w:numPr>
        <w:jc w:val="both"/>
      </w:pPr>
      <w:r>
        <w:rPr>
          <w:b/>
          <w:bCs/>
        </w:rPr>
        <w:t>What-if simulation</w:t>
      </w:r>
      <w:r>
        <w:t xml:space="preserve"> with DoWhy [33] to estimate the effect of an action, such as restoring advertising spend, before it is taken;</w:t>
      </w:r>
    </w:p>
    <w:p w14:paraId="1A89398B" w14:textId="77777777" w:rsidR="000222BB" w:rsidRDefault="00BA1370">
      <w:pPr>
        <w:pStyle w:val="ListParagraph"/>
        <w:numPr>
          <w:ilvl w:val="0"/>
          <w:numId w:val="2"/>
        </w:numPr>
        <w:jc w:val="both"/>
      </w:pPr>
      <w:r>
        <w:rPr>
          <w:b/>
          <w:bCs/>
        </w:rPr>
        <w:t>Streaming ingestion</w:t>
      </w:r>
      <w:r>
        <w:t xml:space="preserve"> with change data capture and multi-tenant cloud deployment, and deep learned detectors [17] for high-dimensional metrics.</w:t>
      </w:r>
    </w:p>
    <w:p w14:paraId="1D713DE0" w14:textId="77777777" w:rsidR="000222BB" w:rsidRDefault="00BA1370">
      <w:pPr>
        <w:keepNext/>
        <w:spacing w:before="160" w:after="80"/>
        <w:jc w:val="center"/>
      </w:pPr>
      <w:r>
        <w:rPr>
          <w:smallCaps/>
        </w:rPr>
        <w:t>X. Conclusion</w:t>
      </w:r>
    </w:p>
    <w:p w14:paraId="1C5F6C94" w14:textId="77777777" w:rsidR="000222BB" w:rsidRDefault="00BA1370">
      <w:pPr>
        <w:ind w:firstLine="202"/>
        <w:jc w:val="both"/>
      </w:pPr>
      <w:r>
        <w:t>KAIROS shows that business monitoring can be proactive, causal and verifiable using free, open components. DYNOTEARS recovered the benchmark structure with an F1 score of 0.974, 8.1–95.6% higher than three baselines; the ranking named every incident origin in 100% of runs, against at most 70% for the alternatives; the LLM-Modulo verifier stopped 98.5% of numerical errors, against 59.5% for a tolerance rule; and Fast Transfer moved large exports 6.1 times faster than FTP. The working dashboard brings these r</w:t>
      </w:r>
      <w:r>
        <w:t>esults to managers without a single query.</w:t>
      </w:r>
    </w:p>
    <w:p w14:paraId="13D53812" w14:textId="77777777" w:rsidR="000222BB" w:rsidRDefault="00BA1370">
      <w:pPr>
        <w:keepNext/>
        <w:spacing w:before="160" w:after="80"/>
        <w:jc w:val="center"/>
      </w:pPr>
      <w:r>
        <w:rPr>
          <w:smallCaps/>
        </w:rPr>
        <w:t>Acknowledgment</w:t>
      </w:r>
    </w:p>
    <w:p w14:paraId="75D4B6E5" w14:textId="77777777" w:rsidR="000222BB" w:rsidRDefault="00BA1370">
      <w:pPr>
        <w:ind w:firstLine="202"/>
        <w:jc w:val="both"/>
      </w:pPr>
      <w:r>
        <w:t>The authors thank their faculty mentor, Dr. K RajKumar, School of Technology, Woxsen University, for the guidance and support given throughout this project.</w:t>
      </w:r>
    </w:p>
    <w:p w14:paraId="7C795D68" w14:textId="77777777" w:rsidR="000222BB" w:rsidRDefault="00BA1370">
      <w:pPr>
        <w:spacing w:before="160" w:after="80"/>
        <w:jc w:val="center"/>
      </w:pPr>
      <w:r>
        <w:rPr>
          <w:smallCaps/>
        </w:rPr>
        <w:t>References</w:t>
      </w:r>
    </w:p>
    <w:p w14:paraId="5701667A" w14:textId="77777777" w:rsidR="000222BB" w:rsidRDefault="00BA1370">
      <w:pPr>
        <w:tabs>
          <w:tab w:val="left" w:pos="400"/>
        </w:tabs>
        <w:spacing w:after="20" w:line="216" w:lineRule="auto"/>
        <w:ind w:left="400" w:hanging="400"/>
        <w:jc w:val="both"/>
      </w:pPr>
      <w:r>
        <w:rPr>
          <w:sz w:val="16"/>
          <w:szCs w:val="16"/>
        </w:rPr>
        <w:t>[1]</w:t>
      </w:r>
      <w:r>
        <w:rPr>
          <w:sz w:val="16"/>
          <w:szCs w:val="16"/>
        </w:rPr>
        <w:tab/>
        <w:t xml:space="preserve">N. Ain, G. Vaia, W. H. DeLone, and M. Waheed, "Two decades of research on business intelligence system adoption, utilization and success – A systematic literature review," </w:t>
      </w:r>
      <w:r>
        <w:rPr>
          <w:i/>
          <w:iCs/>
          <w:sz w:val="16"/>
          <w:szCs w:val="16"/>
        </w:rPr>
        <w:t>Decision Support Systems</w:t>
      </w:r>
      <w:r>
        <w:rPr>
          <w:sz w:val="16"/>
          <w:szCs w:val="16"/>
        </w:rPr>
        <w:t>, vol. 125, Art. no. 113113, 2019, doi: 10.1016/j.dss.2019.113113.</w:t>
      </w:r>
    </w:p>
    <w:p w14:paraId="6BC52E5C" w14:textId="77777777" w:rsidR="000222BB" w:rsidRDefault="00BA1370">
      <w:pPr>
        <w:tabs>
          <w:tab w:val="left" w:pos="400"/>
        </w:tabs>
        <w:spacing w:after="20" w:line="216" w:lineRule="auto"/>
        <w:ind w:left="400" w:hanging="400"/>
        <w:jc w:val="both"/>
      </w:pPr>
      <w:r>
        <w:rPr>
          <w:sz w:val="16"/>
          <w:szCs w:val="16"/>
        </w:rPr>
        <w:t>[2]</w:t>
      </w:r>
      <w:r>
        <w:rPr>
          <w:sz w:val="16"/>
          <w:szCs w:val="16"/>
        </w:rPr>
        <w:tab/>
        <w:t xml:space="preserve">N. Prat, "Augmented analytics," </w:t>
      </w:r>
      <w:r>
        <w:rPr>
          <w:i/>
          <w:iCs/>
          <w:sz w:val="16"/>
          <w:szCs w:val="16"/>
        </w:rPr>
        <w:t>Business &amp; Information Systems Engineering</w:t>
      </w:r>
      <w:r>
        <w:rPr>
          <w:sz w:val="16"/>
          <w:szCs w:val="16"/>
        </w:rPr>
        <w:t>, vol. 61, no. 3, pp. 375–380, 2019, doi: 10.1007/s12599-019-00589-0.</w:t>
      </w:r>
    </w:p>
    <w:p w14:paraId="069069AD" w14:textId="77777777" w:rsidR="000222BB" w:rsidRDefault="00BA1370">
      <w:pPr>
        <w:tabs>
          <w:tab w:val="left" w:pos="400"/>
        </w:tabs>
        <w:spacing w:after="20" w:line="216" w:lineRule="auto"/>
        <w:ind w:left="400" w:hanging="400"/>
        <w:jc w:val="both"/>
      </w:pPr>
      <w:r>
        <w:rPr>
          <w:sz w:val="16"/>
          <w:szCs w:val="16"/>
        </w:rPr>
        <w:t>[3]</w:t>
      </w:r>
      <w:r>
        <w:rPr>
          <w:sz w:val="16"/>
          <w:szCs w:val="16"/>
        </w:rPr>
        <w:tab/>
        <w:t xml:space="preserve">B. Schölkopf </w:t>
      </w:r>
      <w:r>
        <w:rPr>
          <w:i/>
          <w:iCs/>
          <w:sz w:val="16"/>
          <w:szCs w:val="16"/>
        </w:rPr>
        <w:t>et al.</w:t>
      </w:r>
      <w:r>
        <w:rPr>
          <w:sz w:val="16"/>
          <w:szCs w:val="16"/>
        </w:rPr>
        <w:t xml:space="preserve">, "Toward causal representation learning," </w:t>
      </w:r>
      <w:r>
        <w:rPr>
          <w:i/>
          <w:iCs/>
          <w:sz w:val="16"/>
          <w:szCs w:val="16"/>
        </w:rPr>
        <w:t>Proceedings of the IEEE</w:t>
      </w:r>
      <w:r>
        <w:rPr>
          <w:sz w:val="16"/>
          <w:szCs w:val="16"/>
        </w:rPr>
        <w:t>, vol. 109, no. 5, pp. 612–634, 2021, doi: 10.1109/JPROC.2021.3058954.</w:t>
      </w:r>
    </w:p>
    <w:p w14:paraId="6D32B4D6" w14:textId="77777777" w:rsidR="000222BB" w:rsidRDefault="00BA1370">
      <w:pPr>
        <w:tabs>
          <w:tab w:val="left" w:pos="400"/>
        </w:tabs>
        <w:spacing w:after="20" w:line="216" w:lineRule="auto"/>
        <w:ind w:left="400" w:hanging="400"/>
        <w:jc w:val="both"/>
      </w:pPr>
      <w:r>
        <w:rPr>
          <w:sz w:val="16"/>
          <w:szCs w:val="16"/>
        </w:rPr>
        <w:t>[4]</w:t>
      </w:r>
      <w:r>
        <w:rPr>
          <w:sz w:val="16"/>
          <w:szCs w:val="16"/>
        </w:rPr>
        <w:tab/>
        <w:t xml:space="preserve">S. J. Taylor and B. Letham, "Forecasting at scale," </w:t>
      </w:r>
      <w:r>
        <w:rPr>
          <w:i/>
          <w:iCs/>
          <w:sz w:val="16"/>
          <w:szCs w:val="16"/>
        </w:rPr>
        <w:t>The American Statistician</w:t>
      </w:r>
      <w:r>
        <w:rPr>
          <w:sz w:val="16"/>
          <w:szCs w:val="16"/>
        </w:rPr>
        <w:t>, vol. 72, no. 1, pp. 37–45, 2018, doi: 10.1080/00031305.2017.1380080.</w:t>
      </w:r>
    </w:p>
    <w:p w14:paraId="4D506F47" w14:textId="77777777" w:rsidR="000222BB" w:rsidRDefault="00BA1370">
      <w:pPr>
        <w:tabs>
          <w:tab w:val="left" w:pos="400"/>
        </w:tabs>
        <w:spacing w:after="20" w:line="216" w:lineRule="auto"/>
        <w:ind w:left="400" w:hanging="400"/>
        <w:jc w:val="both"/>
      </w:pPr>
      <w:r>
        <w:rPr>
          <w:sz w:val="16"/>
          <w:szCs w:val="16"/>
        </w:rPr>
        <w:t>[5]</w:t>
      </w:r>
      <w:r>
        <w:rPr>
          <w:sz w:val="16"/>
          <w:szCs w:val="16"/>
        </w:rPr>
        <w:tab/>
        <w:t xml:space="preserve">P. J. Rousseeuw and M. Hubert, "Anomaly detection by robust statistics," </w:t>
      </w:r>
      <w:r>
        <w:rPr>
          <w:i/>
          <w:iCs/>
          <w:sz w:val="16"/>
          <w:szCs w:val="16"/>
        </w:rPr>
        <w:t>WIREs Data Mining and Knowledge Discovery</w:t>
      </w:r>
      <w:r>
        <w:rPr>
          <w:sz w:val="16"/>
          <w:szCs w:val="16"/>
        </w:rPr>
        <w:t>, vol. 8, no. 2, Art. no. e1236, 2018, doi: 10.1002/widm.1236.</w:t>
      </w:r>
    </w:p>
    <w:p w14:paraId="21C9C23F" w14:textId="77777777" w:rsidR="000222BB" w:rsidRDefault="00BA1370">
      <w:pPr>
        <w:tabs>
          <w:tab w:val="left" w:pos="400"/>
        </w:tabs>
        <w:spacing w:after="20" w:line="216" w:lineRule="auto"/>
        <w:ind w:left="400" w:hanging="400"/>
        <w:jc w:val="both"/>
      </w:pPr>
      <w:r>
        <w:rPr>
          <w:sz w:val="16"/>
          <w:szCs w:val="16"/>
        </w:rPr>
        <w:t>[6]</w:t>
      </w:r>
      <w:r>
        <w:rPr>
          <w:sz w:val="16"/>
          <w:szCs w:val="16"/>
        </w:rPr>
        <w:tab/>
        <w:t xml:space="preserve">A. Blázquez-García, A. Conde, U. Mori, and J. A. Lozano, "A review on outlier/anomaly detection in time series data," </w:t>
      </w:r>
      <w:r>
        <w:rPr>
          <w:i/>
          <w:iCs/>
          <w:sz w:val="16"/>
          <w:szCs w:val="16"/>
        </w:rPr>
        <w:t>ACM Computing Surveys</w:t>
      </w:r>
      <w:r>
        <w:rPr>
          <w:sz w:val="16"/>
          <w:szCs w:val="16"/>
        </w:rPr>
        <w:t>, vol. 54, no. 3, pp. 1–33, 2022, doi: 10.1145/3444690.</w:t>
      </w:r>
    </w:p>
    <w:p w14:paraId="542DC15A" w14:textId="77777777" w:rsidR="000222BB" w:rsidRDefault="00BA1370">
      <w:pPr>
        <w:tabs>
          <w:tab w:val="left" w:pos="400"/>
        </w:tabs>
        <w:spacing w:after="20" w:line="216" w:lineRule="auto"/>
        <w:ind w:left="400" w:hanging="400"/>
        <w:jc w:val="both"/>
      </w:pPr>
      <w:r>
        <w:rPr>
          <w:sz w:val="16"/>
          <w:szCs w:val="16"/>
        </w:rPr>
        <w:t>[7]</w:t>
      </w:r>
      <w:r>
        <w:rPr>
          <w:sz w:val="16"/>
          <w:szCs w:val="16"/>
        </w:rPr>
        <w:tab/>
        <w:t>X. Zheng, B. Aragam, P. Ravikumar, and E. P. Xing, "DAGs with NO TEARS: Continuous optimization for structure learning," arXiv:1803.01422, 2018.</w:t>
      </w:r>
    </w:p>
    <w:p w14:paraId="7A5F8B0F" w14:textId="77777777" w:rsidR="000222BB" w:rsidRDefault="00BA1370">
      <w:pPr>
        <w:tabs>
          <w:tab w:val="left" w:pos="400"/>
        </w:tabs>
        <w:spacing w:after="20" w:line="216" w:lineRule="auto"/>
        <w:ind w:left="400" w:hanging="400"/>
        <w:jc w:val="both"/>
      </w:pPr>
      <w:r>
        <w:rPr>
          <w:sz w:val="16"/>
          <w:szCs w:val="16"/>
        </w:rPr>
        <w:t>[8]</w:t>
      </w:r>
      <w:r>
        <w:rPr>
          <w:sz w:val="16"/>
          <w:szCs w:val="16"/>
        </w:rPr>
        <w:tab/>
      </w:r>
      <w:r>
        <w:rPr>
          <w:sz w:val="16"/>
          <w:szCs w:val="16"/>
        </w:rPr>
        <w:t>R. Pamfil, N. Sriwattanaworachai, S. Desai, P. Pilgerstorfer, P. Beaumont, K. Georgatzis, and B. Aragam, "DYNOTEARS: Structure learning from time-series data," arXiv:2002.00498, 2020.</w:t>
      </w:r>
    </w:p>
    <w:p w14:paraId="3E66B7D5" w14:textId="77777777" w:rsidR="000222BB" w:rsidRDefault="00BA1370">
      <w:pPr>
        <w:tabs>
          <w:tab w:val="left" w:pos="400"/>
        </w:tabs>
        <w:spacing w:after="20" w:line="216" w:lineRule="auto"/>
        <w:ind w:left="400" w:hanging="400"/>
        <w:jc w:val="both"/>
      </w:pPr>
      <w:r>
        <w:rPr>
          <w:sz w:val="16"/>
          <w:szCs w:val="16"/>
        </w:rPr>
        <w:t>[9]</w:t>
      </w:r>
      <w:r>
        <w:rPr>
          <w:sz w:val="16"/>
          <w:szCs w:val="16"/>
        </w:rPr>
        <w:tab/>
        <w:t xml:space="preserve">A. Thomas, M. Niranjan, and J. P. Legg, "Causal analysis of physiological sleep data using Granger causality and score-based structure learning," </w:t>
      </w:r>
      <w:r>
        <w:rPr>
          <w:i/>
          <w:iCs/>
          <w:sz w:val="16"/>
          <w:szCs w:val="16"/>
        </w:rPr>
        <w:t>Sensors</w:t>
      </w:r>
      <w:r>
        <w:rPr>
          <w:sz w:val="16"/>
          <w:szCs w:val="16"/>
        </w:rPr>
        <w:t>, vol. 23, no. 23, Art. no. 9455, 2023, doi: 10.3390/s23239455.</w:t>
      </w:r>
    </w:p>
    <w:p w14:paraId="05A74A1D" w14:textId="77777777" w:rsidR="000222BB" w:rsidRDefault="00BA1370">
      <w:pPr>
        <w:tabs>
          <w:tab w:val="left" w:pos="400"/>
        </w:tabs>
        <w:spacing w:after="20" w:line="216" w:lineRule="auto"/>
        <w:ind w:left="400" w:hanging="400"/>
        <w:jc w:val="both"/>
      </w:pPr>
      <w:r>
        <w:rPr>
          <w:sz w:val="16"/>
          <w:szCs w:val="16"/>
        </w:rPr>
        <w:t>[10]</w:t>
      </w:r>
      <w:r>
        <w:rPr>
          <w:sz w:val="16"/>
          <w:szCs w:val="16"/>
        </w:rPr>
        <w:tab/>
        <w:t xml:space="preserve">Y. Chang </w:t>
      </w:r>
      <w:r>
        <w:rPr>
          <w:i/>
          <w:iCs/>
          <w:sz w:val="16"/>
          <w:szCs w:val="16"/>
        </w:rPr>
        <w:t>et al.</w:t>
      </w:r>
      <w:r>
        <w:rPr>
          <w:sz w:val="16"/>
          <w:szCs w:val="16"/>
        </w:rPr>
        <w:t xml:space="preserve">, "A survey on evaluation of large language models," </w:t>
      </w:r>
      <w:r>
        <w:rPr>
          <w:i/>
          <w:iCs/>
          <w:sz w:val="16"/>
          <w:szCs w:val="16"/>
        </w:rPr>
        <w:t>ACM Transactions on Intelligent Systems and Technology</w:t>
      </w:r>
      <w:r>
        <w:rPr>
          <w:sz w:val="16"/>
          <w:szCs w:val="16"/>
        </w:rPr>
        <w:t>, vol. 15, no. 3, pp. 1–45, 2024, doi: 10.1145/3641289.</w:t>
      </w:r>
    </w:p>
    <w:p w14:paraId="7DD2E4F1" w14:textId="77777777" w:rsidR="000222BB" w:rsidRDefault="00BA1370">
      <w:pPr>
        <w:tabs>
          <w:tab w:val="left" w:pos="400"/>
        </w:tabs>
        <w:spacing w:after="20" w:line="216" w:lineRule="auto"/>
        <w:ind w:left="400" w:hanging="400"/>
        <w:jc w:val="both"/>
      </w:pPr>
      <w:r>
        <w:rPr>
          <w:sz w:val="16"/>
          <w:szCs w:val="16"/>
        </w:rPr>
        <w:t>[11]</w:t>
      </w:r>
      <w:r>
        <w:rPr>
          <w:sz w:val="16"/>
          <w:szCs w:val="16"/>
        </w:rPr>
        <w:tab/>
        <w:t xml:space="preserve">Z. Ji </w:t>
      </w:r>
      <w:r>
        <w:rPr>
          <w:i/>
          <w:iCs/>
          <w:sz w:val="16"/>
          <w:szCs w:val="16"/>
        </w:rPr>
        <w:t>et al.</w:t>
      </w:r>
      <w:r>
        <w:rPr>
          <w:sz w:val="16"/>
          <w:szCs w:val="16"/>
        </w:rPr>
        <w:t xml:space="preserve">, "Survey of hallucination in natural language generation," </w:t>
      </w:r>
      <w:r>
        <w:rPr>
          <w:i/>
          <w:iCs/>
          <w:sz w:val="16"/>
          <w:szCs w:val="16"/>
        </w:rPr>
        <w:t>ACM Computing Surveys</w:t>
      </w:r>
      <w:r>
        <w:rPr>
          <w:sz w:val="16"/>
          <w:szCs w:val="16"/>
        </w:rPr>
        <w:t>, vol. 55, no. 12, pp. 1–38, 2023, doi: 10.1145/3571730.</w:t>
      </w:r>
    </w:p>
    <w:p w14:paraId="1EA5EA6A" w14:textId="77777777" w:rsidR="000222BB" w:rsidRDefault="00BA1370">
      <w:pPr>
        <w:tabs>
          <w:tab w:val="left" w:pos="400"/>
        </w:tabs>
        <w:spacing w:after="20" w:line="216" w:lineRule="auto"/>
        <w:ind w:left="400" w:hanging="400"/>
        <w:jc w:val="both"/>
      </w:pPr>
      <w:r>
        <w:rPr>
          <w:sz w:val="16"/>
          <w:szCs w:val="16"/>
        </w:rPr>
        <w:t>[12]</w:t>
      </w:r>
      <w:r>
        <w:rPr>
          <w:sz w:val="16"/>
          <w:szCs w:val="16"/>
        </w:rPr>
        <w:tab/>
        <w:t xml:space="preserve">L. Huang </w:t>
      </w:r>
      <w:r>
        <w:rPr>
          <w:i/>
          <w:iCs/>
          <w:sz w:val="16"/>
          <w:szCs w:val="16"/>
        </w:rPr>
        <w:t>et al.</w:t>
      </w:r>
      <w:r>
        <w:rPr>
          <w:sz w:val="16"/>
          <w:szCs w:val="16"/>
        </w:rPr>
        <w:t xml:space="preserve">, "A survey on hallucination in large language models: Principles, taxonomy, challenges, and open questions," </w:t>
      </w:r>
      <w:r>
        <w:rPr>
          <w:i/>
          <w:iCs/>
          <w:sz w:val="16"/>
          <w:szCs w:val="16"/>
        </w:rPr>
        <w:t>ACM Transactions on Information Systems</w:t>
      </w:r>
      <w:r>
        <w:rPr>
          <w:sz w:val="16"/>
          <w:szCs w:val="16"/>
        </w:rPr>
        <w:t>, vol. 43, no. 2, pp. 1–55, 2025, doi: 10.1145/3703155.</w:t>
      </w:r>
    </w:p>
    <w:p w14:paraId="5E1E9788" w14:textId="77777777" w:rsidR="000222BB" w:rsidRDefault="00BA1370">
      <w:pPr>
        <w:tabs>
          <w:tab w:val="left" w:pos="400"/>
        </w:tabs>
        <w:spacing w:after="20" w:line="216" w:lineRule="auto"/>
        <w:ind w:left="400" w:hanging="400"/>
        <w:jc w:val="both"/>
      </w:pPr>
      <w:r>
        <w:rPr>
          <w:sz w:val="16"/>
          <w:szCs w:val="16"/>
        </w:rPr>
        <w:t>[13]</w:t>
      </w:r>
      <w:r>
        <w:rPr>
          <w:sz w:val="16"/>
          <w:szCs w:val="16"/>
        </w:rPr>
        <w:tab/>
      </w:r>
      <w:r>
        <w:rPr>
          <w:sz w:val="16"/>
          <w:szCs w:val="16"/>
        </w:rPr>
        <w:t xml:space="preserve">J. Soldani and A. Brogi, "Anomaly detection and failure root cause analysis in (micro)service-based cloud applications: A survey," </w:t>
      </w:r>
      <w:r>
        <w:rPr>
          <w:i/>
          <w:iCs/>
          <w:sz w:val="16"/>
          <w:szCs w:val="16"/>
        </w:rPr>
        <w:t>ACM Computing Surveys</w:t>
      </w:r>
      <w:r>
        <w:rPr>
          <w:sz w:val="16"/>
          <w:szCs w:val="16"/>
        </w:rPr>
        <w:t>, vol. 55, no. 3, pp. 1–39, 2023, doi: 10.1145/3501297.</w:t>
      </w:r>
    </w:p>
    <w:p w14:paraId="56A830FE" w14:textId="77777777" w:rsidR="000222BB" w:rsidRDefault="00BA1370">
      <w:pPr>
        <w:tabs>
          <w:tab w:val="left" w:pos="400"/>
        </w:tabs>
        <w:spacing w:after="20" w:line="216" w:lineRule="auto"/>
        <w:ind w:left="400" w:hanging="400"/>
        <w:jc w:val="both"/>
      </w:pPr>
      <w:r>
        <w:rPr>
          <w:sz w:val="16"/>
          <w:szCs w:val="16"/>
        </w:rPr>
        <w:t>[14]</w:t>
      </w:r>
      <w:r>
        <w:rPr>
          <w:sz w:val="16"/>
          <w:szCs w:val="16"/>
        </w:rPr>
        <w:tab/>
        <w:t xml:space="preserve">S. Kambhampati, "Can large language models reason and plan?," </w:t>
      </w:r>
      <w:r>
        <w:rPr>
          <w:i/>
          <w:iCs/>
          <w:sz w:val="16"/>
          <w:szCs w:val="16"/>
        </w:rPr>
        <w:t>Annals of the New York Academy of Sciences</w:t>
      </w:r>
      <w:r>
        <w:rPr>
          <w:sz w:val="16"/>
          <w:szCs w:val="16"/>
        </w:rPr>
        <w:t>, vol. 1534, no. 1, pp. 15–18, 2024, doi: 10.1111/nyas.15125.</w:t>
      </w:r>
    </w:p>
    <w:p w14:paraId="0D6C7265" w14:textId="77777777" w:rsidR="000222BB" w:rsidRDefault="00BA1370">
      <w:pPr>
        <w:tabs>
          <w:tab w:val="left" w:pos="400"/>
        </w:tabs>
        <w:spacing w:after="20" w:line="216" w:lineRule="auto"/>
        <w:ind w:left="400" w:hanging="400"/>
        <w:jc w:val="both"/>
      </w:pPr>
      <w:r>
        <w:rPr>
          <w:sz w:val="16"/>
          <w:szCs w:val="16"/>
        </w:rPr>
        <w:t>[15]</w:t>
      </w:r>
      <w:r>
        <w:rPr>
          <w:sz w:val="16"/>
          <w:szCs w:val="16"/>
        </w:rPr>
        <w:tab/>
      </w:r>
      <w:r>
        <w:rPr>
          <w:sz w:val="16"/>
          <w:szCs w:val="16"/>
        </w:rPr>
        <w:t xml:space="preserve">K. Choi, J. Yi, C. Park, and S. Yoon, "Deep learning for anomaly detection in time-series data: Review, analysis, and guidelines," </w:t>
      </w:r>
      <w:r>
        <w:rPr>
          <w:i/>
          <w:iCs/>
          <w:sz w:val="16"/>
          <w:szCs w:val="16"/>
        </w:rPr>
        <w:t>IEEE Access</w:t>
      </w:r>
      <w:r>
        <w:rPr>
          <w:sz w:val="16"/>
          <w:szCs w:val="16"/>
        </w:rPr>
        <w:t>, vol. 9, pp. 120043–120065, 2021, doi: 10.1109/ACCESS.2021.3107975.</w:t>
      </w:r>
    </w:p>
    <w:p w14:paraId="146D324F" w14:textId="77777777" w:rsidR="000222BB" w:rsidRDefault="00BA1370">
      <w:pPr>
        <w:tabs>
          <w:tab w:val="left" w:pos="400"/>
        </w:tabs>
        <w:spacing w:after="20" w:line="216" w:lineRule="auto"/>
        <w:ind w:left="400" w:hanging="400"/>
        <w:jc w:val="both"/>
      </w:pPr>
      <w:r>
        <w:rPr>
          <w:sz w:val="16"/>
          <w:szCs w:val="16"/>
        </w:rPr>
        <w:t>[16]</w:t>
      </w:r>
      <w:r>
        <w:rPr>
          <w:sz w:val="16"/>
          <w:szCs w:val="16"/>
        </w:rPr>
        <w:tab/>
        <w:t xml:space="preserve">G. Pang, C. Shen, L. Cao, and A. van den Hengel, "Deep learning for anomaly detection: A review," </w:t>
      </w:r>
      <w:r>
        <w:rPr>
          <w:i/>
          <w:iCs/>
          <w:sz w:val="16"/>
          <w:szCs w:val="16"/>
        </w:rPr>
        <w:t>ACM Computing Surveys</w:t>
      </w:r>
      <w:r>
        <w:rPr>
          <w:sz w:val="16"/>
          <w:szCs w:val="16"/>
        </w:rPr>
        <w:t>, vol. 54, no. 2, pp. 1–38, 2022, doi: 10.1145/3439950.</w:t>
      </w:r>
    </w:p>
    <w:p w14:paraId="3C2FBB38" w14:textId="77777777" w:rsidR="000222BB" w:rsidRDefault="00BA1370">
      <w:pPr>
        <w:tabs>
          <w:tab w:val="left" w:pos="400"/>
        </w:tabs>
        <w:spacing w:after="20" w:line="216" w:lineRule="auto"/>
        <w:ind w:left="400" w:hanging="400"/>
        <w:jc w:val="both"/>
      </w:pPr>
      <w:r>
        <w:rPr>
          <w:sz w:val="16"/>
          <w:szCs w:val="16"/>
        </w:rPr>
        <w:t>[17]</w:t>
      </w:r>
      <w:r>
        <w:rPr>
          <w:sz w:val="16"/>
          <w:szCs w:val="16"/>
        </w:rPr>
        <w:tab/>
      </w:r>
      <w:r>
        <w:rPr>
          <w:sz w:val="16"/>
          <w:szCs w:val="16"/>
        </w:rPr>
        <w:t xml:space="preserve">Z. Zamanzadeh Darban, G. I. Webb, S. Pan, C. Aggarwal, and M. Salehi, "Deep learning for time series anomaly detection: A survey," </w:t>
      </w:r>
      <w:r>
        <w:rPr>
          <w:i/>
          <w:iCs/>
          <w:sz w:val="16"/>
          <w:szCs w:val="16"/>
        </w:rPr>
        <w:t>ACM Computing Surveys</w:t>
      </w:r>
      <w:r>
        <w:rPr>
          <w:sz w:val="16"/>
          <w:szCs w:val="16"/>
        </w:rPr>
        <w:t>, vol. 57, no. 1, pp. 1–42, 2025, doi: 10.1145/3691338.</w:t>
      </w:r>
    </w:p>
    <w:p w14:paraId="0E2E27DE" w14:textId="77777777" w:rsidR="000222BB" w:rsidRDefault="00BA1370">
      <w:pPr>
        <w:tabs>
          <w:tab w:val="left" w:pos="400"/>
        </w:tabs>
        <w:spacing w:after="20" w:line="216" w:lineRule="auto"/>
        <w:ind w:left="400" w:hanging="400"/>
        <w:jc w:val="both"/>
      </w:pPr>
      <w:r>
        <w:rPr>
          <w:sz w:val="16"/>
          <w:szCs w:val="16"/>
        </w:rPr>
        <w:t>[18]</w:t>
      </w:r>
      <w:r>
        <w:rPr>
          <w:sz w:val="16"/>
          <w:szCs w:val="16"/>
        </w:rPr>
        <w:tab/>
        <w:t xml:space="preserve">C. Glymour, K. Zhang, and P. Spirtes, "Review of causal discovery methods based on graphical models," </w:t>
      </w:r>
      <w:r>
        <w:rPr>
          <w:i/>
          <w:iCs/>
          <w:sz w:val="16"/>
          <w:szCs w:val="16"/>
        </w:rPr>
        <w:t>Frontiers in Genetics</w:t>
      </w:r>
      <w:r>
        <w:rPr>
          <w:sz w:val="16"/>
          <w:szCs w:val="16"/>
        </w:rPr>
        <w:t>, vol. 10, Art. no. 524, 2019, doi: 10.3389/fgene.2019.00524.</w:t>
      </w:r>
    </w:p>
    <w:p w14:paraId="1BBC1EEE" w14:textId="77777777" w:rsidR="000222BB" w:rsidRDefault="00BA1370">
      <w:pPr>
        <w:tabs>
          <w:tab w:val="left" w:pos="400"/>
        </w:tabs>
        <w:spacing w:after="20" w:line="216" w:lineRule="auto"/>
        <w:ind w:left="400" w:hanging="400"/>
        <w:jc w:val="both"/>
      </w:pPr>
      <w:r>
        <w:rPr>
          <w:sz w:val="16"/>
          <w:szCs w:val="16"/>
        </w:rPr>
        <w:t>[19]</w:t>
      </w:r>
      <w:r>
        <w:rPr>
          <w:sz w:val="16"/>
          <w:szCs w:val="16"/>
        </w:rPr>
        <w:tab/>
      </w:r>
      <w:r>
        <w:rPr>
          <w:sz w:val="16"/>
          <w:szCs w:val="16"/>
        </w:rPr>
        <w:t xml:space="preserve">M. J. Vowels, N. C. Camgoz, and R. Bowden, "D'ya like DAGs? A survey on structure learning and causal discovery," </w:t>
      </w:r>
      <w:r>
        <w:rPr>
          <w:i/>
          <w:iCs/>
          <w:sz w:val="16"/>
          <w:szCs w:val="16"/>
        </w:rPr>
        <w:t>ACM Computing Surveys</w:t>
      </w:r>
      <w:r>
        <w:rPr>
          <w:sz w:val="16"/>
          <w:szCs w:val="16"/>
        </w:rPr>
        <w:t>, vol. 55, no. 4, pp. 1–36, 2023, doi: 10.1145/3527154.</w:t>
      </w:r>
    </w:p>
    <w:p w14:paraId="1AFB5B8B" w14:textId="77777777" w:rsidR="000222BB" w:rsidRDefault="00BA1370">
      <w:pPr>
        <w:tabs>
          <w:tab w:val="left" w:pos="400"/>
        </w:tabs>
        <w:spacing w:after="20" w:line="216" w:lineRule="auto"/>
        <w:ind w:left="400" w:hanging="400"/>
        <w:jc w:val="both"/>
      </w:pPr>
      <w:r>
        <w:rPr>
          <w:sz w:val="16"/>
          <w:szCs w:val="16"/>
        </w:rPr>
        <w:t>[20]</w:t>
      </w:r>
      <w:r>
        <w:rPr>
          <w:sz w:val="16"/>
          <w:szCs w:val="16"/>
        </w:rPr>
        <w:tab/>
        <w:t xml:space="preserve">A. Zanga, E. Ozkirimli, and F. Stella, "A survey on causal discovery: Theory and practice," </w:t>
      </w:r>
      <w:r>
        <w:rPr>
          <w:i/>
          <w:iCs/>
          <w:sz w:val="16"/>
          <w:szCs w:val="16"/>
        </w:rPr>
        <w:t>International Journal of Approximate Reasoning</w:t>
      </w:r>
      <w:r>
        <w:rPr>
          <w:sz w:val="16"/>
          <w:szCs w:val="16"/>
        </w:rPr>
        <w:t>, vol. 151, pp. 101–129, 2022, doi: 10.1016/j.ijar.2022.09.004.</w:t>
      </w:r>
    </w:p>
    <w:p w14:paraId="37F3971F" w14:textId="77777777" w:rsidR="000222BB" w:rsidRDefault="00BA1370">
      <w:pPr>
        <w:tabs>
          <w:tab w:val="left" w:pos="400"/>
        </w:tabs>
        <w:spacing w:after="20" w:line="216" w:lineRule="auto"/>
        <w:ind w:left="400" w:hanging="400"/>
        <w:jc w:val="both"/>
      </w:pPr>
      <w:r>
        <w:rPr>
          <w:sz w:val="16"/>
          <w:szCs w:val="16"/>
        </w:rPr>
        <w:t>[21]</w:t>
      </w:r>
      <w:r>
        <w:rPr>
          <w:sz w:val="16"/>
          <w:szCs w:val="16"/>
        </w:rPr>
        <w:tab/>
      </w:r>
      <w:r>
        <w:rPr>
          <w:sz w:val="16"/>
          <w:szCs w:val="16"/>
        </w:rPr>
        <w:t xml:space="preserve">A. R. Nogueira, A. Pugnana, S. Ruggieri, D. Pedreschi, and J. Gama, "Methods and tools for causal discovery and causal inference," </w:t>
      </w:r>
      <w:r>
        <w:rPr>
          <w:i/>
          <w:iCs/>
          <w:sz w:val="16"/>
          <w:szCs w:val="16"/>
        </w:rPr>
        <w:t>WIREs Data Mining and Knowledge Discovery</w:t>
      </w:r>
      <w:r>
        <w:rPr>
          <w:sz w:val="16"/>
          <w:szCs w:val="16"/>
        </w:rPr>
        <w:t>, vol. 12, no. 2, Art. no. e1449, 2022, doi: 10.1002/widm.1449.</w:t>
      </w:r>
    </w:p>
    <w:p w14:paraId="16F95FE0" w14:textId="77777777" w:rsidR="000222BB" w:rsidRDefault="00BA1370">
      <w:pPr>
        <w:tabs>
          <w:tab w:val="left" w:pos="400"/>
        </w:tabs>
        <w:spacing w:after="20" w:line="216" w:lineRule="auto"/>
        <w:ind w:left="400" w:hanging="400"/>
        <w:jc w:val="both"/>
      </w:pPr>
      <w:r>
        <w:rPr>
          <w:sz w:val="16"/>
          <w:szCs w:val="16"/>
        </w:rPr>
        <w:t>[22]</w:t>
      </w:r>
      <w:r>
        <w:rPr>
          <w:sz w:val="16"/>
          <w:szCs w:val="16"/>
        </w:rPr>
        <w:tab/>
        <w:t xml:space="preserve">A. Shojaie and E. B. Fox, "Granger causality: A review and recent advances," </w:t>
      </w:r>
      <w:r>
        <w:rPr>
          <w:i/>
          <w:iCs/>
          <w:sz w:val="16"/>
          <w:szCs w:val="16"/>
        </w:rPr>
        <w:t>Annual Review of Statistics and Its Application</w:t>
      </w:r>
      <w:r>
        <w:rPr>
          <w:sz w:val="16"/>
          <w:szCs w:val="16"/>
        </w:rPr>
        <w:t>, vol. 9, no. 1, pp. 289–319, 2022, doi: 10.1146/annurev-statistics-040120-010930.</w:t>
      </w:r>
    </w:p>
    <w:p w14:paraId="77DFBF28" w14:textId="77777777" w:rsidR="000222BB" w:rsidRDefault="00BA1370">
      <w:pPr>
        <w:tabs>
          <w:tab w:val="left" w:pos="400"/>
        </w:tabs>
        <w:spacing w:after="20" w:line="216" w:lineRule="auto"/>
        <w:ind w:left="400" w:hanging="400"/>
        <w:jc w:val="both"/>
      </w:pPr>
      <w:r>
        <w:rPr>
          <w:sz w:val="16"/>
          <w:szCs w:val="16"/>
        </w:rPr>
        <w:t>[23]</w:t>
      </w:r>
      <w:r>
        <w:rPr>
          <w:sz w:val="16"/>
          <w:szCs w:val="16"/>
        </w:rPr>
        <w:tab/>
      </w:r>
      <w:r>
        <w:rPr>
          <w:sz w:val="16"/>
          <w:szCs w:val="16"/>
        </w:rPr>
        <w:t xml:space="preserve">A. Hyvärinen, K. Zhang, S. Shimizu, and P. O. Hoyer, "Estimation of a structural vector autoregression model using non-Gaussianity," </w:t>
      </w:r>
      <w:r>
        <w:rPr>
          <w:i/>
          <w:iCs/>
          <w:sz w:val="16"/>
          <w:szCs w:val="16"/>
        </w:rPr>
        <w:t>Journal of Machine Learning Research</w:t>
      </w:r>
      <w:r>
        <w:rPr>
          <w:sz w:val="16"/>
          <w:szCs w:val="16"/>
        </w:rPr>
        <w:t>, vol. 11, no. 56, pp. 1709–1731, 2010. [Online]. Available: https://jmlr.org/papers/v11/hyvarinen10a.html</w:t>
      </w:r>
    </w:p>
    <w:p w14:paraId="5DB556DE" w14:textId="77777777" w:rsidR="000222BB" w:rsidRDefault="00BA1370">
      <w:pPr>
        <w:tabs>
          <w:tab w:val="left" w:pos="400"/>
        </w:tabs>
        <w:spacing w:after="20" w:line="216" w:lineRule="auto"/>
        <w:ind w:left="400" w:hanging="400"/>
        <w:jc w:val="both"/>
      </w:pPr>
      <w:r>
        <w:rPr>
          <w:sz w:val="16"/>
          <w:szCs w:val="16"/>
        </w:rPr>
        <w:t>[24]</w:t>
      </w:r>
      <w:r>
        <w:rPr>
          <w:sz w:val="16"/>
          <w:szCs w:val="16"/>
        </w:rPr>
        <w:tab/>
        <w:t xml:space="preserve">J. Runge, P. Nowack, M. Kretschmer, S. Flaxman, and D. Sejdinovic, "Detecting and quantifying causal associations in large nonlinear time series datasets," </w:t>
      </w:r>
      <w:r>
        <w:rPr>
          <w:i/>
          <w:iCs/>
          <w:sz w:val="16"/>
          <w:szCs w:val="16"/>
        </w:rPr>
        <w:t>Science Advances</w:t>
      </w:r>
      <w:r>
        <w:rPr>
          <w:sz w:val="16"/>
          <w:szCs w:val="16"/>
        </w:rPr>
        <w:t>, vol. 5, no. 11, Art. no. eaau4996, 2019, doi: 10.1126/sciadv.aau4996.</w:t>
      </w:r>
    </w:p>
    <w:p w14:paraId="10D26DE0" w14:textId="77777777" w:rsidR="000222BB" w:rsidRDefault="00BA1370">
      <w:pPr>
        <w:tabs>
          <w:tab w:val="left" w:pos="400"/>
        </w:tabs>
        <w:spacing w:after="20" w:line="216" w:lineRule="auto"/>
        <w:ind w:left="400" w:hanging="400"/>
        <w:jc w:val="both"/>
      </w:pPr>
      <w:r>
        <w:rPr>
          <w:sz w:val="16"/>
          <w:szCs w:val="16"/>
        </w:rPr>
        <w:t>[25]</w:t>
      </w:r>
      <w:r>
        <w:rPr>
          <w:sz w:val="16"/>
          <w:szCs w:val="16"/>
        </w:rPr>
        <w:tab/>
        <w:t xml:space="preserve">J. Runge </w:t>
      </w:r>
      <w:r>
        <w:rPr>
          <w:i/>
          <w:iCs/>
          <w:sz w:val="16"/>
          <w:szCs w:val="16"/>
        </w:rPr>
        <w:t>et al.</w:t>
      </w:r>
      <w:r>
        <w:rPr>
          <w:sz w:val="16"/>
          <w:szCs w:val="16"/>
        </w:rPr>
        <w:t xml:space="preserve">, "Inferring causation from time series in Earth system sciences," </w:t>
      </w:r>
      <w:r>
        <w:rPr>
          <w:i/>
          <w:iCs/>
          <w:sz w:val="16"/>
          <w:szCs w:val="16"/>
        </w:rPr>
        <w:t>Nature Communications</w:t>
      </w:r>
      <w:r>
        <w:rPr>
          <w:sz w:val="16"/>
          <w:szCs w:val="16"/>
        </w:rPr>
        <w:t>, vol. 10, no. 1, Art. no. 2553, 2019, doi: 10.1038/s41467-019-10105-3.</w:t>
      </w:r>
    </w:p>
    <w:p w14:paraId="73CDDB13" w14:textId="77777777" w:rsidR="000222BB" w:rsidRDefault="00BA1370">
      <w:pPr>
        <w:tabs>
          <w:tab w:val="left" w:pos="400"/>
        </w:tabs>
        <w:spacing w:after="20" w:line="216" w:lineRule="auto"/>
        <w:ind w:left="400" w:hanging="400"/>
        <w:jc w:val="both"/>
      </w:pPr>
      <w:r>
        <w:rPr>
          <w:sz w:val="16"/>
          <w:szCs w:val="16"/>
        </w:rPr>
        <w:t>[26]</w:t>
      </w:r>
      <w:r>
        <w:rPr>
          <w:sz w:val="16"/>
          <w:szCs w:val="16"/>
        </w:rPr>
        <w:tab/>
        <w:t xml:space="preserve">M. Nauta, D. Bucur, and C. Seifert, "Causal discovery with attention-based convolutional neural networks," </w:t>
      </w:r>
      <w:r>
        <w:rPr>
          <w:i/>
          <w:iCs/>
          <w:sz w:val="16"/>
          <w:szCs w:val="16"/>
        </w:rPr>
        <w:t>Machine Learning and Knowledge Extraction</w:t>
      </w:r>
      <w:r>
        <w:rPr>
          <w:sz w:val="16"/>
          <w:szCs w:val="16"/>
        </w:rPr>
        <w:t>, vol. 1, no. 1, pp. 312–340, 2019, doi: 10.3390/make1010019.</w:t>
      </w:r>
    </w:p>
    <w:p w14:paraId="3B5A6AA7" w14:textId="77777777" w:rsidR="000222BB" w:rsidRDefault="00BA1370">
      <w:pPr>
        <w:tabs>
          <w:tab w:val="left" w:pos="400"/>
        </w:tabs>
        <w:spacing w:after="20" w:line="216" w:lineRule="auto"/>
        <w:ind w:left="400" w:hanging="400"/>
        <w:jc w:val="both"/>
      </w:pPr>
      <w:r>
        <w:rPr>
          <w:sz w:val="16"/>
          <w:szCs w:val="16"/>
        </w:rPr>
        <w:t>[27]</w:t>
      </w:r>
      <w:r>
        <w:rPr>
          <w:sz w:val="16"/>
          <w:szCs w:val="16"/>
        </w:rPr>
        <w:tab/>
      </w:r>
      <w:r>
        <w:rPr>
          <w:sz w:val="16"/>
          <w:szCs w:val="16"/>
        </w:rPr>
        <w:t xml:space="preserve">M. Kaiser and M. Sipos, "Unsuitability of NOTEARS for causal graph discovery when dealing with dimensional quantities," </w:t>
      </w:r>
      <w:r>
        <w:rPr>
          <w:i/>
          <w:iCs/>
          <w:sz w:val="16"/>
          <w:szCs w:val="16"/>
        </w:rPr>
        <w:t>Neural Processing Letters</w:t>
      </w:r>
      <w:r>
        <w:rPr>
          <w:sz w:val="16"/>
          <w:szCs w:val="16"/>
        </w:rPr>
        <w:t>, vol. 54, no. 3, pp. 1587–1595, 2022, doi: 10.1007/s11063-021-10694-5.</w:t>
      </w:r>
    </w:p>
    <w:p w14:paraId="16BA6129" w14:textId="77777777" w:rsidR="000222BB" w:rsidRDefault="00BA1370">
      <w:pPr>
        <w:tabs>
          <w:tab w:val="left" w:pos="400"/>
        </w:tabs>
        <w:spacing w:after="20" w:line="216" w:lineRule="auto"/>
        <w:ind w:left="400" w:hanging="400"/>
        <w:jc w:val="both"/>
      </w:pPr>
      <w:r>
        <w:rPr>
          <w:sz w:val="16"/>
          <w:szCs w:val="16"/>
        </w:rPr>
        <w:t>[28]</w:t>
      </w:r>
      <w:r>
        <w:rPr>
          <w:sz w:val="16"/>
          <w:szCs w:val="16"/>
        </w:rPr>
        <w:tab/>
        <w:t xml:space="preserve">C. K. Assaad, E. Devijver, and E. Gaussier, "Survey and evaluation of causal discovery methods for time series," </w:t>
      </w:r>
      <w:r>
        <w:rPr>
          <w:i/>
          <w:iCs/>
          <w:sz w:val="16"/>
          <w:szCs w:val="16"/>
        </w:rPr>
        <w:t>Journal of Artificial Intelligence Research</w:t>
      </w:r>
      <w:r>
        <w:rPr>
          <w:sz w:val="16"/>
          <w:szCs w:val="16"/>
        </w:rPr>
        <w:t>, vol. 73, pp. 767–819, 2022, doi: 10.1613/jair.1.13428.</w:t>
      </w:r>
    </w:p>
    <w:p w14:paraId="072E293B" w14:textId="77777777" w:rsidR="000222BB" w:rsidRDefault="00BA1370">
      <w:pPr>
        <w:tabs>
          <w:tab w:val="left" w:pos="400"/>
        </w:tabs>
        <w:spacing w:after="20" w:line="216" w:lineRule="auto"/>
        <w:ind w:left="400" w:hanging="400"/>
        <w:jc w:val="both"/>
      </w:pPr>
      <w:r>
        <w:rPr>
          <w:sz w:val="16"/>
          <w:szCs w:val="16"/>
        </w:rPr>
        <w:t>[29]</w:t>
      </w:r>
      <w:r>
        <w:rPr>
          <w:sz w:val="16"/>
          <w:szCs w:val="16"/>
        </w:rPr>
        <w:tab/>
      </w:r>
      <w:r>
        <w:rPr>
          <w:sz w:val="16"/>
          <w:szCs w:val="16"/>
        </w:rPr>
        <w:t xml:space="preserve">U. Hasan, E. Hossain, and M. O. Gani, "A survey on causal discovery methods for I.I.D. and time series data," </w:t>
      </w:r>
      <w:r>
        <w:rPr>
          <w:i/>
          <w:iCs/>
          <w:sz w:val="16"/>
          <w:szCs w:val="16"/>
        </w:rPr>
        <w:t>Transactions on Machine Learning Research</w:t>
      </w:r>
      <w:r>
        <w:rPr>
          <w:sz w:val="16"/>
          <w:szCs w:val="16"/>
        </w:rPr>
        <w:t>, 2023. [Online]. Available: https://openreview.net/forum?id=YdMrdhGx9y</w:t>
      </w:r>
    </w:p>
    <w:p w14:paraId="10F06CEA" w14:textId="77777777" w:rsidR="000222BB" w:rsidRDefault="00BA1370">
      <w:pPr>
        <w:tabs>
          <w:tab w:val="left" w:pos="400"/>
        </w:tabs>
        <w:spacing w:after="20" w:line="216" w:lineRule="auto"/>
        <w:ind w:left="400" w:hanging="400"/>
        <w:jc w:val="both"/>
      </w:pPr>
      <w:r>
        <w:rPr>
          <w:sz w:val="16"/>
          <w:szCs w:val="16"/>
        </w:rPr>
        <w:t>[30]</w:t>
      </w:r>
      <w:r>
        <w:rPr>
          <w:sz w:val="16"/>
          <w:szCs w:val="16"/>
        </w:rPr>
        <w:tab/>
        <w:t xml:space="preserve">R. Moraffah </w:t>
      </w:r>
      <w:r>
        <w:rPr>
          <w:i/>
          <w:iCs/>
          <w:sz w:val="16"/>
          <w:szCs w:val="16"/>
        </w:rPr>
        <w:t>et al.</w:t>
      </w:r>
      <w:r>
        <w:rPr>
          <w:sz w:val="16"/>
          <w:szCs w:val="16"/>
        </w:rPr>
        <w:t xml:space="preserve">, "Causal inference for time series analysis: Problems, methods and evaluation," </w:t>
      </w:r>
      <w:r>
        <w:rPr>
          <w:i/>
          <w:iCs/>
          <w:sz w:val="16"/>
          <w:szCs w:val="16"/>
        </w:rPr>
        <w:t>Knowledge and Information Systems</w:t>
      </w:r>
      <w:r>
        <w:rPr>
          <w:sz w:val="16"/>
          <w:szCs w:val="16"/>
        </w:rPr>
        <w:t>, vol. 63, no. 12, pp. 3041–3085, 2021, doi: 10.1007/s10115-021-01621-0.</w:t>
      </w:r>
    </w:p>
    <w:p w14:paraId="728F147D" w14:textId="77777777" w:rsidR="000222BB" w:rsidRDefault="00BA1370">
      <w:pPr>
        <w:tabs>
          <w:tab w:val="left" w:pos="400"/>
        </w:tabs>
        <w:spacing w:after="20" w:line="216" w:lineRule="auto"/>
        <w:ind w:left="400" w:hanging="400"/>
        <w:jc w:val="both"/>
      </w:pPr>
      <w:r>
        <w:rPr>
          <w:sz w:val="16"/>
          <w:szCs w:val="16"/>
        </w:rPr>
        <w:t>[31]</w:t>
      </w:r>
      <w:r>
        <w:rPr>
          <w:sz w:val="16"/>
          <w:szCs w:val="16"/>
        </w:rPr>
        <w:tab/>
      </w:r>
      <w:r>
        <w:rPr>
          <w:sz w:val="16"/>
          <w:szCs w:val="16"/>
        </w:rPr>
        <w:t xml:space="preserve">C. Gong, C. Zhang, D. Yao, J. Bi, W. Li, and Y. Xu, "Causal discovery from temporal data: An overview and new perspectives," </w:t>
      </w:r>
      <w:r>
        <w:rPr>
          <w:i/>
          <w:iCs/>
          <w:sz w:val="16"/>
          <w:szCs w:val="16"/>
        </w:rPr>
        <w:t>ACM Computing Surveys</w:t>
      </w:r>
      <w:r>
        <w:rPr>
          <w:sz w:val="16"/>
          <w:szCs w:val="16"/>
        </w:rPr>
        <w:t>, vol. 57, no. 4, pp. 1–38, 2025, doi: 10.1145/3705297.</w:t>
      </w:r>
    </w:p>
    <w:p w14:paraId="7611E430" w14:textId="77777777" w:rsidR="000222BB" w:rsidRDefault="00BA1370">
      <w:pPr>
        <w:tabs>
          <w:tab w:val="left" w:pos="400"/>
        </w:tabs>
        <w:spacing w:after="20" w:line="216" w:lineRule="auto"/>
        <w:ind w:left="400" w:hanging="400"/>
        <w:jc w:val="both"/>
      </w:pPr>
      <w:r>
        <w:rPr>
          <w:sz w:val="16"/>
          <w:szCs w:val="16"/>
        </w:rPr>
        <w:t>[32]</w:t>
      </w:r>
      <w:r>
        <w:rPr>
          <w:sz w:val="16"/>
          <w:szCs w:val="16"/>
        </w:rPr>
        <w:tab/>
        <w:t xml:space="preserve">Y. Zheng </w:t>
      </w:r>
      <w:r>
        <w:rPr>
          <w:i/>
          <w:iCs/>
          <w:sz w:val="16"/>
          <w:szCs w:val="16"/>
        </w:rPr>
        <w:t>et al.</w:t>
      </w:r>
      <w:r>
        <w:rPr>
          <w:sz w:val="16"/>
          <w:szCs w:val="16"/>
        </w:rPr>
        <w:t xml:space="preserve">, "Causal-learn: Causal discovery in Python," </w:t>
      </w:r>
      <w:r>
        <w:rPr>
          <w:i/>
          <w:iCs/>
          <w:sz w:val="16"/>
          <w:szCs w:val="16"/>
        </w:rPr>
        <w:t>Journal of Machine Learning Research</w:t>
      </w:r>
      <w:r>
        <w:rPr>
          <w:sz w:val="16"/>
          <w:szCs w:val="16"/>
        </w:rPr>
        <w:t>, vol. 25, no. 60, pp. 1–8, 2024. [Online]. Available: https://jmlr.org/papers/v25/23-0970.html</w:t>
      </w:r>
    </w:p>
    <w:p w14:paraId="276BEB1E" w14:textId="77777777" w:rsidR="000222BB" w:rsidRDefault="00BA1370">
      <w:pPr>
        <w:tabs>
          <w:tab w:val="left" w:pos="400"/>
        </w:tabs>
        <w:spacing w:after="20" w:line="216" w:lineRule="auto"/>
        <w:ind w:left="400" w:hanging="400"/>
        <w:jc w:val="both"/>
      </w:pPr>
      <w:r>
        <w:rPr>
          <w:sz w:val="16"/>
          <w:szCs w:val="16"/>
        </w:rPr>
        <w:t>[33]</w:t>
      </w:r>
      <w:r>
        <w:rPr>
          <w:sz w:val="16"/>
          <w:szCs w:val="16"/>
        </w:rPr>
        <w:tab/>
      </w:r>
      <w:r>
        <w:rPr>
          <w:sz w:val="16"/>
          <w:szCs w:val="16"/>
        </w:rPr>
        <w:t xml:space="preserve">P. Blöbaum, P. Götz, K. Budhathoki, A. A. Mastakouri, and D. Janzing, "DoWhy-GCM: An extension of DoWhy for causal inference in graphical causal models," </w:t>
      </w:r>
      <w:r>
        <w:rPr>
          <w:i/>
          <w:iCs/>
          <w:sz w:val="16"/>
          <w:szCs w:val="16"/>
        </w:rPr>
        <w:t>Journal of Machine Learning Research</w:t>
      </w:r>
      <w:r>
        <w:rPr>
          <w:sz w:val="16"/>
          <w:szCs w:val="16"/>
        </w:rPr>
        <w:t>, vol. 25, no. 147, pp. 1–7, 2024. [Online]. Available: https://jmlr.org/papers/v25/22-1258.html</w:t>
      </w:r>
    </w:p>
    <w:p w14:paraId="7227A41A" w14:textId="77777777" w:rsidR="000222BB" w:rsidRDefault="00BA1370">
      <w:pPr>
        <w:tabs>
          <w:tab w:val="left" w:pos="400"/>
        </w:tabs>
        <w:spacing w:after="20" w:line="216" w:lineRule="auto"/>
        <w:ind w:left="400" w:hanging="400"/>
        <w:jc w:val="both"/>
      </w:pPr>
      <w:r>
        <w:rPr>
          <w:sz w:val="16"/>
          <w:szCs w:val="16"/>
        </w:rPr>
        <w:t>[34]</w:t>
      </w:r>
      <w:r>
        <w:rPr>
          <w:sz w:val="16"/>
          <w:szCs w:val="16"/>
        </w:rPr>
        <w:tab/>
        <w:t xml:space="preserve">Y. Sun </w:t>
      </w:r>
      <w:r>
        <w:rPr>
          <w:i/>
          <w:iCs/>
          <w:sz w:val="16"/>
          <w:szCs w:val="16"/>
        </w:rPr>
        <w:t>et al.</w:t>
      </w:r>
      <w:r>
        <w:rPr>
          <w:sz w:val="16"/>
          <w:szCs w:val="16"/>
        </w:rPr>
        <w:t xml:space="preserve">, "HotSpot: Anomaly localization for additive KPIs with multi-dimensional attributes," </w:t>
      </w:r>
      <w:r>
        <w:rPr>
          <w:i/>
          <w:iCs/>
          <w:sz w:val="16"/>
          <w:szCs w:val="16"/>
        </w:rPr>
        <w:t>IEEE Access</w:t>
      </w:r>
      <w:r>
        <w:rPr>
          <w:sz w:val="16"/>
          <w:szCs w:val="16"/>
        </w:rPr>
        <w:t>, vol. 6, pp. 10909–10923, 2018, doi: 10.1109/ACCESS.2018.2804764.</w:t>
      </w:r>
    </w:p>
    <w:p w14:paraId="75CF8136" w14:textId="77777777" w:rsidR="000222BB" w:rsidRDefault="00BA1370">
      <w:pPr>
        <w:tabs>
          <w:tab w:val="left" w:pos="400"/>
        </w:tabs>
        <w:spacing w:after="20" w:line="216" w:lineRule="auto"/>
        <w:ind w:left="400" w:hanging="400"/>
        <w:jc w:val="both"/>
      </w:pPr>
      <w:r>
        <w:rPr>
          <w:sz w:val="16"/>
          <w:szCs w:val="16"/>
        </w:rPr>
        <w:t>[35]</w:t>
      </w:r>
      <w:r>
        <w:rPr>
          <w:sz w:val="16"/>
          <w:szCs w:val="16"/>
        </w:rPr>
        <w:tab/>
      </w:r>
      <w:r>
        <w:rPr>
          <w:sz w:val="16"/>
          <w:szCs w:val="16"/>
        </w:rPr>
        <w:t xml:space="preserve">P. Chen, Y. Qi, and D. Hou, "CauseInfer: Automated end-to-end performance diagnosis with hierarchical causality graph in cloud environment," </w:t>
      </w:r>
      <w:r>
        <w:rPr>
          <w:i/>
          <w:iCs/>
          <w:sz w:val="16"/>
          <w:szCs w:val="16"/>
        </w:rPr>
        <w:t>IEEE Transactions on Services Computing</w:t>
      </w:r>
      <w:r>
        <w:rPr>
          <w:sz w:val="16"/>
          <w:szCs w:val="16"/>
        </w:rPr>
        <w:t>, vol. 12, no. 2, pp. 214–230, 2019, doi: 10.1109/TSC.2016.2607739.</w:t>
      </w:r>
    </w:p>
    <w:p w14:paraId="349CF9EA" w14:textId="77777777" w:rsidR="000222BB" w:rsidRDefault="00BA1370">
      <w:pPr>
        <w:tabs>
          <w:tab w:val="left" w:pos="400"/>
        </w:tabs>
        <w:spacing w:after="20" w:line="216" w:lineRule="auto"/>
        <w:ind w:left="400" w:hanging="400"/>
        <w:jc w:val="both"/>
      </w:pPr>
      <w:r>
        <w:rPr>
          <w:sz w:val="16"/>
          <w:szCs w:val="16"/>
        </w:rPr>
        <w:t>[36]</w:t>
      </w:r>
      <w:r>
        <w:rPr>
          <w:sz w:val="16"/>
          <w:szCs w:val="16"/>
        </w:rPr>
        <w:tab/>
        <w:t xml:space="preserve">R. Xin, P. Chen, and Z. Zhao, "CausalRCA: Causal inference based precise fine-grained root cause localization for microservice applications," </w:t>
      </w:r>
      <w:r>
        <w:rPr>
          <w:i/>
          <w:iCs/>
          <w:sz w:val="16"/>
          <w:szCs w:val="16"/>
        </w:rPr>
        <w:t>Journal of Systems and Software</w:t>
      </w:r>
      <w:r>
        <w:rPr>
          <w:sz w:val="16"/>
          <w:szCs w:val="16"/>
        </w:rPr>
        <w:t>, vol. 203, Art. no. 111724, 2023, doi: 10.1016/j.jss.2023.111724.</w:t>
      </w:r>
    </w:p>
    <w:p w14:paraId="052C653F" w14:textId="77777777" w:rsidR="000222BB" w:rsidRDefault="00BA1370">
      <w:pPr>
        <w:tabs>
          <w:tab w:val="left" w:pos="400"/>
        </w:tabs>
        <w:spacing w:after="20" w:line="216" w:lineRule="auto"/>
        <w:ind w:left="400" w:hanging="400"/>
        <w:jc w:val="both"/>
      </w:pPr>
      <w:r>
        <w:rPr>
          <w:sz w:val="16"/>
          <w:szCs w:val="16"/>
        </w:rPr>
        <w:t>[37]</w:t>
      </w:r>
      <w:r>
        <w:rPr>
          <w:sz w:val="16"/>
          <w:szCs w:val="16"/>
        </w:rPr>
        <w:tab/>
      </w:r>
      <w:r>
        <w:rPr>
          <w:sz w:val="16"/>
          <w:szCs w:val="16"/>
        </w:rPr>
        <w:t xml:space="preserve">B. Żurkowski and K. Zieliński, "Root cause analysis for cloud-native applications," </w:t>
      </w:r>
      <w:r>
        <w:rPr>
          <w:i/>
          <w:iCs/>
          <w:sz w:val="16"/>
          <w:szCs w:val="16"/>
        </w:rPr>
        <w:t>IEEE Transactions on Cloud Computing</w:t>
      </w:r>
      <w:r>
        <w:rPr>
          <w:sz w:val="16"/>
          <w:szCs w:val="16"/>
        </w:rPr>
        <w:t>, vol. 12, no. 1, pp. 232–250, 2024, doi: 10.1109/TCC.2024.3358823.</w:t>
      </w:r>
    </w:p>
    <w:p w14:paraId="1334D032" w14:textId="77777777" w:rsidR="000222BB" w:rsidRDefault="00BA1370">
      <w:pPr>
        <w:tabs>
          <w:tab w:val="left" w:pos="400"/>
        </w:tabs>
        <w:spacing w:after="20" w:line="216" w:lineRule="auto"/>
        <w:ind w:left="400" w:hanging="400"/>
        <w:jc w:val="both"/>
      </w:pPr>
      <w:r>
        <w:rPr>
          <w:sz w:val="16"/>
          <w:szCs w:val="16"/>
        </w:rPr>
        <w:t>[38]</w:t>
      </w:r>
      <w:r>
        <w:rPr>
          <w:sz w:val="16"/>
          <w:szCs w:val="16"/>
        </w:rPr>
        <w:tab/>
        <w:t xml:space="preserve">H. Cheng, Q. Li, B. Liu, S. Liu, and L. Pan, "DGERCL: A dynamic graph embedding approach for root cause localization in microservice systems," </w:t>
      </w:r>
      <w:r>
        <w:rPr>
          <w:i/>
          <w:iCs/>
          <w:sz w:val="16"/>
          <w:szCs w:val="16"/>
        </w:rPr>
        <w:t>IEEE Transactions on Services Computing</w:t>
      </w:r>
      <w:r>
        <w:rPr>
          <w:sz w:val="16"/>
          <w:szCs w:val="16"/>
        </w:rPr>
        <w:t>, vol. 17, no. 6, pp. 3417–3428, 2024, doi: 10.1109/TSC.2024.3437742.</w:t>
      </w:r>
    </w:p>
    <w:p w14:paraId="6C23CB61" w14:textId="77777777" w:rsidR="000222BB" w:rsidRDefault="00BA1370">
      <w:pPr>
        <w:tabs>
          <w:tab w:val="left" w:pos="400"/>
        </w:tabs>
        <w:spacing w:after="20" w:line="216" w:lineRule="auto"/>
        <w:ind w:left="400" w:hanging="400"/>
        <w:jc w:val="both"/>
      </w:pPr>
      <w:r>
        <w:rPr>
          <w:sz w:val="16"/>
          <w:szCs w:val="16"/>
        </w:rPr>
        <w:t>[39]</w:t>
      </w:r>
      <w:r>
        <w:rPr>
          <w:sz w:val="16"/>
          <w:szCs w:val="16"/>
        </w:rPr>
        <w:tab/>
        <w:t xml:space="preserve">X. Hou </w:t>
      </w:r>
      <w:r>
        <w:rPr>
          <w:i/>
          <w:iCs/>
          <w:sz w:val="16"/>
          <w:szCs w:val="16"/>
        </w:rPr>
        <w:t>et al.</w:t>
      </w:r>
      <w:r>
        <w:rPr>
          <w:sz w:val="16"/>
          <w:szCs w:val="16"/>
        </w:rPr>
        <w:t xml:space="preserve">, "Large language models for software engineering: A systematic literature review," </w:t>
      </w:r>
      <w:r>
        <w:rPr>
          <w:i/>
          <w:iCs/>
          <w:sz w:val="16"/>
          <w:szCs w:val="16"/>
        </w:rPr>
        <w:t>ACM Transactions on Software Engineering and Methodology</w:t>
      </w:r>
      <w:r>
        <w:rPr>
          <w:sz w:val="16"/>
          <w:szCs w:val="16"/>
        </w:rPr>
        <w:t>, vol. 33, no. 8, pp. 1–79, 2024, doi: 10.1145/3695988.</w:t>
      </w:r>
    </w:p>
    <w:p w14:paraId="343E3170" w14:textId="77777777" w:rsidR="000222BB" w:rsidRDefault="00BA1370">
      <w:pPr>
        <w:tabs>
          <w:tab w:val="left" w:pos="400"/>
        </w:tabs>
        <w:spacing w:after="20" w:line="216" w:lineRule="auto"/>
        <w:ind w:left="400" w:hanging="400"/>
        <w:jc w:val="both"/>
      </w:pPr>
      <w:r>
        <w:rPr>
          <w:sz w:val="16"/>
          <w:szCs w:val="16"/>
        </w:rPr>
        <w:t>[40]</w:t>
      </w:r>
      <w:r>
        <w:rPr>
          <w:sz w:val="16"/>
          <w:szCs w:val="16"/>
        </w:rPr>
        <w:tab/>
        <w:t xml:space="preserve">Z. Hong, Z. Yuan, Q. Zhang, H. Chen, J. Dong, F. Huang, and X. Huang, "Next-generation database interfaces: A survey of LLM-based text-to-SQL," </w:t>
      </w:r>
      <w:r>
        <w:rPr>
          <w:i/>
          <w:iCs/>
          <w:sz w:val="16"/>
          <w:szCs w:val="16"/>
        </w:rPr>
        <w:t>IEEE Transactions on Knowledge and Data Engineering</w:t>
      </w:r>
      <w:r>
        <w:rPr>
          <w:sz w:val="16"/>
          <w:szCs w:val="16"/>
        </w:rPr>
        <w:t>, vol. 37, no. 12, pp. 7328–7345, 2025, doi: 10.1109/TKDE.2025.3609486.</w:t>
      </w:r>
    </w:p>
    <w:p w14:paraId="50FB706D" w14:textId="77777777" w:rsidR="000222BB" w:rsidRDefault="00BA1370">
      <w:pPr>
        <w:tabs>
          <w:tab w:val="left" w:pos="400"/>
        </w:tabs>
        <w:spacing w:after="20" w:line="216" w:lineRule="auto"/>
        <w:ind w:left="400" w:hanging="400"/>
        <w:jc w:val="both"/>
      </w:pPr>
      <w:r>
        <w:rPr>
          <w:sz w:val="16"/>
          <w:szCs w:val="16"/>
        </w:rPr>
        <w:t>[41]</w:t>
      </w:r>
      <w:r>
        <w:rPr>
          <w:sz w:val="16"/>
          <w:szCs w:val="16"/>
        </w:rPr>
        <w:tab/>
        <w:t xml:space="preserve">X. Liu </w:t>
      </w:r>
      <w:r>
        <w:rPr>
          <w:i/>
          <w:iCs/>
          <w:sz w:val="16"/>
          <w:szCs w:val="16"/>
        </w:rPr>
        <w:t>et al.</w:t>
      </w:r>
      <w:r>
        <w:rPr>
          <w:sz w:val="16"/>
          <w:szCs w:val="16"/>
        </w:rPr>
        <w:t xml:space="preserve">, "A survey of text-to-SQL in the era of LLMs: Where are we, and where are we going?," </w:t>
      </w:r>
      <w:r>
        <w:rPr>
          <w:i/>
          <w:iCs/>
          <w:sz w:val="16"/>
          <w:szCs w:val="16"/>
        </w:rPr>
        <w:t>IEEE Transactions on Knowledge and Data Engineering</w:t>
      </w:r>
      <w:r>
        <w:rPr>
          <w:sz w:val="16"/>
          <w:szCs w:val="16"/>
        </w:rPr>
        <w:t>, vol. 37, no. 10, pp. 5735–5754, 2025, doi: 10.1109/TKDE.2025.3592032.</w:t>
      </w:r>
    </w:p>
    <w:p w14:paraId="5914DE29" w14:textId="77777777" w:rsidR="000222BB" w:rsidRDefault="00BA1370">
      <w:pPr>
        <w:tabs>
          <w:tab w:val="left" w:pos="400"/>
        </w:tabs>
        <w:spacing w:after="20" w:line="216" w:lineRule="auto"/>
        <w:ind w:left="400" w:hanging="400"/>
        <w:jc w:val="both"/>
      </w:pPr>
      <w:r>
        <w:rPr>
          <w:sz w:val="16"/>
          <w:szCs w:val="16"/>
        </w:rPr>
        <w:t>[42]</w:t>
      </w:r>
      <w:r>
        <w:rPr>
          <w:sz w:val="16"/>
          <w:szCs w:val="16"/>
        </w:rPr>
        <w:tab/>
        <w:t xml:space="preserve">E. Kıcıman, R. Ness, A. Sharma, and C. Tan, "Causal reasoning and large language models: Opening a new frontier for causality," </w:t>
      </w:r>
      <w:r>
        <w:rPr>
          <w:i/>
          <w:iCs/>
          <w:sz w:val="16"/>
          <w:szCs w:val="16"/>
        </w:rPr>
        <w:t>Transactions on Machine Learning Research</w:t>
      </w:r>
      <w:r>
        <w:rPr>
          <w:sz w:val="16"/>
          <w:szCs w:val="16"/>
        </w:rPr>
        <w:t>, 2024. [Online]. Available: https://openreview.net/forum?id=mqoxLkX210</w:t>
      </w:r>
    </w:p>
    <w:p w14:paraId="109BBF90" w14:textId="77777777" w:rsidR="000222BB" w:rsidRDefault="00BA1370">
      <w:pPr>
        <w:tabs>
          <w:tab w:val="left" w:pos="400"/>
        </w:tabs>
        <w:spacing w:after="20" w:line="216" w:lineRule="auto"/>
        <w:ind w:left="400" w:hanging="400"/>
        <w:jc w:val="both"/>
      </w:pPr>
      <w:r>
        <w:rPr>
          <w:sz w:val="16"/>
          <w:szCs w:val="16"/>
        </w:rPr>
        <w:t>[43]</w:t>
      </w:r>
      <w:r>
        <w:rPr>
          <w:sz w:val="16"/>
          <w:szCs w:val="16"/>
        </w:rPr>
        <w:tab/>
      </w:r>
      <w:r>
        <w:rPr>
          <w:sz w:val="16"/>
          <w:szCs w:val="16"/>
        </w:rPr>
        <w:t xml:space="preserve">S. Farquhar, J. Kossen, L. Kuhn, and Y. Gal, "Detecting hallucinations in large language models using semantic entropy," </w:t>
      </w:r>
      <w:r>
        <w:rPr>
          <w:i/>
          <w:iCs/>
          <w:sz w:val="16"/>
          <w:szCs w:val="16"/>
        </w:rPr>
        <w:t>Nature</w:t>
      </w:r>
      <w:r>
        <w:rPr>
          <w:sz w:val="16"/>
          <w:szCs w:val="16"/>
        </w:rPr>
        <w:t>, vol. 630, no. 8017, pp. 625–630, 2024, doi: 10.1038/s41586-024-07421-0.</w:t>
      </w:r>
    </w:p>
    <w:p w14:paraId="4210A3AC" w14:textId="77777777" w:rsidR="000222BB" w:rsidRDefault="00BA1370">
      <w:pPr>
        <w:tabs>
          <w:tab w:val="left" w:pos="400"/>
        </w:tabs>
        <w:spacing w:after="20" w:line="216" w:lineRule="auto"/>
        <w:ind w:left="400" w:hanging="400"/>
        <w:jc w:val="both"/>
      </w:pPr>
      <w:r>
        <w:rPr>
          <w:sz w:val="16"/>
          <w:szCs w:val="16"/>
        </w:rPr>
        <w:t>[44]</w:t>
      </w:r>
      <w:r>
        <w:rPr>
          <w:sz w:val="16"/>
          <w:szCs w:val="16"/>
        </w:rPr>
        <w:tab/>
        <w:t xml:space="preserve">I. Augenstein </w:t>
      </w:r>
      <w:r>
        <w:rPr>
          <w:i/>
          <w:iCs/>
          <w:sz w:val="16"/>
          <w:szCs w:val="16"/>
        </w:rPr>
        <w:t>et al.</w:t>
      </w:r>
      <w:r>
        <w:rPr>
          <w:sz w:val="16"/>
          <w:szCs w:val="16"/>
        </w:rPr>
        <w:t xml:space="preserve">, "Factuality challenges in the era of large language models and opportunities for fact-checking," </w:t>
      </w:r>
      <w:r>
        <w:rPr>
          <w:i/>
          <w:iCs/>
          <w:sz w:val="16"/>
          <w:szCs w:val="16"/>
        </w:rPr>
        <w:t>Nature Machine Intelligence</w:t>
      </w:r>
      <w:r>
        <w:rPr>
          <w:sz w:val="16"/>
          <w:szCs w:val="16"/>
        </w:rPr>
        <w:t>, vol. 6, no. 8, pp. 852–863, 2024, doi: 10.1038/s42256-024-00881-z.</w:t>
      </w:r>
    </w:p>
    <w:p w14:paraId="1363C558" w14:textId="77777777" w:rsidR="000222BB" w:rsidRDefault="00BA1370">
      <w:pPr>
        <w:tabs>
          <w:tab w:val="left" w:pos="400"/>
        </w:tabs>
        <w:spacing w:after="20" w:line="216" w:lineRule="auto"/>
        <w:ind w:left="400" w:hanging="400"/>
        <w:jc w:val="both"/>
      </w:pPr>
      <w:r>
        <w:rPr>
          <w:sz w:val="16"/>
          <w:szCs w:val="16"/>
        </w:rPr>
        <w:t>[45]</w:t>
      </w:r>
      <w:r>
        <w:rPr>
          <w:sz w:val="16"/>
          <w:szCs w:val="16"/>
        </w:rPr>
        <w:tab/>
        <w:t xml:space="preserve">L. Wang </w:t>
      </w:r>
      <w:r>
        <w:rPr>
          <w:i/>
          <w:iCs/>
          <w:sz w:val="16"/>
          <w:szCs w:val="16"/>
        </w:rPr>
        <w:t>et al.</w:t>
      </w:r>
      <w:r>
        <w:rPr>
          <w:sz w:val="16"/>
          <w:szCs w:val="16"/>
        </w:rPr>
        <w:t xml:space="preserve">, "A survey on large language model based autonomous agents," </w:t>
      </w:r>
      <w:r>
        <w:rPr>
          <w:i/>
          <w:iCs/>
          <w:sz w:val="16"/>
          <w:szCs w:val="16"/>
        </w:rPr>
        <w:t>Frontiers of Computer Science</w:t>
      </w:r>
      <w:r>
        <w:rPr>
          <w:sz w:val="16"/>
          <w:szCs w:val="16"/>
        </w:rPr>
        <w:t>, vol. 18, no. 6, Art. no. 186345, 2024, doi: 10.1007/s11704-024-40231-1.</w:t>
      </w:r>
    </w:p>
    <w:p w14:paraId="75967BDC" w14:textId="77777777" w:rsidR="000222BB" w:rsidRDefault="00BA1370">
      <w:pPr>
        <w:tabs>
          <w:tab w:val="left" w:pos="400"/>
        </w:tabs>
        <w:spacing w:after="20" w:line="216" w:lineRule="auto"/>
        <w:ind w:left="400" w:hanging="400"/>
        <w:jc w:val="both"/>
      </w:pPr>
      <w:r>
        <w:rPr>
          <w:sz w:val="16"/>
          <w:szCs w:val="16"/>
        </w:rPr>
        <w:t>[46]</w:t>
      </w:r>
      <w:r>
        <w:rPr>
          <w:sz w:val="16"/>
          <w:szCs w:val="16"/>
        </w:rPr>
        <w:tab/>
        <w:t xml:space="preserve">Z. Xi </w:t>
      </w:r>
      <w:r>
        <w:rPr>
          <w:i/>
          <w:iCs/>
          <w:sz w:val="16"/>
          <w:szCs w:val="16"/>
        </w:rPr>
        <w:t>et al.</w:t>
      </w:r>
      <w:r>
        <w:rPr>
          <w:sz w:val="16"/>
          <w:szCs w:val="16"/>
        </w:rPr>
        <w:t xml:space="preserve">, "The rise and potential of large language model based agents: A survey," </w:t>
      </w:r>
      <w:r>
        <w:rPr>
          <w:i/>
          <w:iCs/>
          <w:sz w:val="16"/>
          <w:szCs w:val="16"/>
        </w:rPr>
        <w:t>Science China Information Sciences</w:t>
      </w:r>
      <w:r>
        <w:rPr>
          <w:sz w:val="16"/>
          <w:szCs w:val="16"/>
        </w:rPr>
        <w:t>, vol. 68, no. 2, Art. no. 121101, 2025, doi: 10.1007/s11432-024-4222-0.</w:t>
      </w:r>
    </w:p>
    <w:p w14:paraId="291A9E49" w14:textId="77777777" w:rsidR="000222BB" w:rsidRDefault="00BA1370">
      <w:pPr>
        <w:tabs>
          <w:tab w:val="left" w:pos="400"/>
        </w:tabs>
        <w:spacing w:after="20" w:line="216" w:lineRule="auto"/>
        <w:ind w:left="400" w:hanging="400"/>
        <w:jc w:val="both"/>
      </w:pPr>
      <w:r>
        <w:rPr>
          <w:sz w:val="16"/>
          <w:szCs w:val="16"/>
        </w:rPr>
        <w:t>[47]</w:t>
      </w:r>
      <w:r>
        <w:rPr>
          <w:sz w:val="16"/>
          <w:szCs w:val="16"/>
        </w:rPr>
        <w:tab/>
        <w:t xml:space="preserve">K. Cao, Y. Liu, G. Meng, and Q. Sun, "An overview on edge computing research," </w:t>
      </w:r>
      <w:r>
        <w:rPr>
          <w:i/>
          <w:iCs/>
          <w:sz w:val="16"/>
          <w:szCs w:val="16"/>
        </w:rPr>
        <w:t>IEEE Access</w:t>
      </w:r>
      <w:r>
        <w:rPr>
          <w:sz w:val="16"/>
          <w:szCs w:val="16"/>
        </w:rPr>
        <w:t>, vol. 8, pp. 85714–85728, 2020, doi: 10.1109/ACCESS.2020.2991734.</w:t>
      </w:r>
    </w:p>
    <w:p w14:paraId="7D3717A1" w14:textId="77777777" w:rsidR="000222BB" w:rsidRDefault="00BA1370">
      <w:pPr>
        <w:tabs>
          <w:tab w:val="left" w:pos="400"/>
        </w:tabs>
        <w:spacing w:after="20" w:line="216" w:lineRule="auto"/>
        <w:ind w:left="400" w:hanging="400"/>
        <w:jc w:val="both"/>
      </w:pPr>
      <w:r>
        <w:rPr>
          <w:sz w:val="16"/>
          <w:szCs w:val="16"/>
        </w:rPr>
        <w:t>[48]</w:t>
      </w:r>
      <w:r>
        <w:rPr>
          <w:sz w:val="16"/>
          <w:szCs w:val="16"/>
        </w:rPr>
        <w:tab/>
      </w:r>
      <w:r>
        <w:rPr>
          <w:sz w:val="16"/>
          <w:szCs w:val="16"/>
        </w:rPr>
        <w:t xml:space="preserve">M. S. Q. Z. Nine and T. Kosar, "A two-phase dynamic throughput optimization model for big data transfers," </w:t>
      </w:r>
      <w:r>
        <w:rPr>
          <w:i/>
          <w:iCs/>
          <w:sz w:val="16"/>
          <w:szCs w:val="16"/>
        </w:rPr>
        <w:t>IEEE Transactions on Parallel and Distributed Systems</w:t>
      </w:r>
      <w:r>
        <w:rPr>
          <w:sz w:val="16"/>
          <w:szCs w:val="16"/>
        </w:rPr>
        <w:t>, vol. 32, no. 2, pp. 269–280, 2021, doi: 10.1109/TPDS.2020.3012929.</w:t>
      </w:r>
    </w:p>
    <w:p w14:paraId="459275C5" w14:textId="77777777" w:rsidR="000222BB" w:rsidRDefault="00BA1370">
      <w:pPr>
        <w:tabs>
          <w:tab w:val="left" w:pos="400"/>
        </w:tabs>
        <w:spacing w:after="20" w:line="216" w:lineRule="auto"/>
        <w:ind w:left="400" w:hanging="400"/>
        <w:jc w:val="both"/>
      </w:pPr>
      <w:r>
        <w:rPr>
          <w:sz w:val="16"/>
          <w:szCs w:val="16"/>
        </w:rPr>
        <w:t>[49]</w:t>
      </w:r>
      <w:r>
        <w:rPr>
          <w:sz w:val="16"/>
          <w:szCs w:val="16"/>
        </w:rPr>
        <w:tab/>
        <w:t xml:space="preserve">C. R. Harris </w:t>
      </w:r>
      <w:r>
        <w:rPr>
          <w:i/>
          <w:iCs/>
          <w:sz w:val="16"/>
          <w:szCs w:val="16"/>
        </w:rPr>
        <w:t>et al.</w:t>
      </w:r>
      <w:r>
        <w:rPr>
          <w:sz w:val="16"/>
          <w:szCs w:val="16"/>
        </w:rPr>
        <w:t xml:space="preserve">, "Array programming with NumPy," </w:t>
      </w:r>
      <w:r>
        <w:rPr>
          <w:i/>
          <w:iCs/>
          <w:sz w:val="16"/>
          <w:szCs w:val="16"/>
        </w:rPr>
        <w:t>Nature</w:t>
      </w:r>
      <w:r>
        <w:rPr>
          <w:sz w:val="16"/>
          <w:szCs w:val="16"/>
        </w:rPr>
        <w:t>, vol. 585, no. 7825, pp. 357–362, 2020, doi: 10.1038/s41586-020-2649-2.</w:t>
      </w:r>
    </w:p>
    <w:p w14:paraId="1EBCF131" w14:textId="77777777" w:rsidR="000222BB" w:rsidRDefault="00BA1370">
      <w:pPr>
        <w:tabs>
          <w:tab w:val="left" w:pos="400"/>
        </w:tabs>
        <w:spacing w:after="20" w:line="216" w:lineRule="auto"/>
        <w:ind w:left="400" w:hanging="400"/>
        <w:jc w:val="both"/>
        <w:sectPr w:rsidR="000222BB">
          <w:type w:val="continuous"/>
          <w:pgSz w:w="12240" w:h="15840"/>
          <w:pgMar w:top="1080" w:right="900" w:bottom="1440" w:left="900" w:header="708" w:footer="708" w:gutter="0"/>
          <w:cols w:num="2" w:space="360"/>
          <w:docGrid w:linePitch="360"/>
        </w:sectPr>
      </w:pPr>
      <w:r>
        <w:rPr>
          <w:sz w:val="16"/>
          <w:szCs w:val="16"/>
        </w:rPr>
        <w:t>[50]</w:t>
      </w:r>
      <w:r>
        <w:rPr>
          <w:sz w:val="16"/>
          <w:szCs w:val="16"/>
        </w:rPr>
        <w:tab/>
        <w:t xml:space="preserve">P. Virtanen </w:t>
      </w:r>
      <w:r>
        <w:rPr>
          <w:i/>
          <w:iCs/>
          <w:sz w:val="16"/>
          <w:szCs w:val="16"/>
        </w:rPr>
        <w:t>et al.</w:t>
      </w:r>
      <w:r>
        <w:rPr>
          <w:sz w:val="16"/>
          <w:szCs w:val="16"/>
        </w:rPr>
        <w:t xml:space="preserve">, "SciPy 1.0: Fundamental algorithms for scientific computing in Python," </w:t>
      </w:r>
      <w:r>
        <w:rPr>
          <w:i/>
          <w:iCs/>
          <w:sz w:val="16"/>
          <w:szCs w:val="16"/>
        </w:rPr>
        <w:t>Nature Methods</w:t>
      </w:r>
      <w:r>
        <w:rPr>
          <w:sz w:val="16"/>
          <w:szCs w:val="16"/>
        </w:rPr>
        <w:t>, vol. 17, no. 3, pp. 261–272, 2020, doi: 10.1038/s41592-019-0686-2.</w:t>
      </w:r>
    </w:p>
    <w:p w14:paraId="517DAA7C" w14:textId="77777777" w:rsidR="000222BB" w:rsidRDefault="000222BB"/>
    <w:sectPr w:rsidR="000222BB">
      <w:type w:val="continuous"/>
      <w:pgSz w:w="12240" w:h="15840"/>
      <w:pgMar w:top="1080" w:right="900" w:bottom="144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D0DB0"/>
    <w:multiLevelType w:val="hybridMultilevel"/>
    <w:tmpl w:val="AC7E0EFE"/>
    <w:lvl w:ilvl="0" w:tplc="95160CB8">
      <w:start w:val="1"/>
      <w:numFmt w:val="bullet"/>
      <w:lvlText w:val="•"/>
      <w:lvlJc w:val="left"/>
      <w:pPr>
        <w:ind w:left="360" w:hanging="180"/>
      </w:pPr>
    </w:lvl>
    <w:lvl w:ilvl="1" w:tplc="670EDA54">
      <w:numFmt w:val="decimal"/>
      <w:lvlText w:val=""/>
      <w:lvlJc w:val="left"/>
    </w:lvl>
    <w:lvl w:ilvl="2" w:tplc="4314CBE2">
      <w:numFmt w:val="decimal"/>
      <w:lvlText w:val=""/>
      <w:lvlJc w:val="left"/>
    </w:lvl>
    <w:lvl w:ilvl="3" w:tplc="3F923A0E">
      <w:numFmt w:val="decimal"/>
      <w:lvlText w:val=""/>
      <w:lvlJc w:val="left"/>
    </w:lvl>
    <w:lvl w:ilvl="4" w:tplc="89004F74">
      <w:numFmt w:val="decimal"/>
      <w:lvlText w:val=""/>
      <w:lvlJc w:val="left"/>
    </w:lvl>
    <w:lvl w:ilvl="5" w:tplc="6B529DC6">
      <w:numFmt w:val="decimal"/>
      <w:lvlText w:val=""/>
      <w:lvlJc w:val="left"/>
    </w:lvl>
    <w:lvl w:ilvl="6" w:tplc="55645B12">
      <w:numFmt w:val="decimal"/>
      <w:lvlText w:val=""/>
      <w:lvlJc w:val="left"/>
    </w:lvl>
    <w:lvl w:ilvl="7" w:tplc="51DAAAD8">
      <w:numFmt w:val="decimal"/>
      <w:lvlText w:val=""/>
      <w:lvlJc w:val="left"/>
    </w:lvl>
    <w:lvl w:ilvl="8" w:tplc="AA08922C">
      <w:numFmt w:val="decimal"/>
      <w:lvlText w:val=""/>
      <w:lvlJc w:val="left"/>
    </w:lvl>
  </w:abstractNum>
  <w:abstractNum w:abstractNumId="1" w15:restartNumberingAfterBreak="0">
    <w:nsid w:val="48536958"/>
    <w:multiLevelType w:val="hybridMultilevel"/>
    <w:tmpl w:val="51082F94"/>
    <w:lvl w:ilvl="0" w:tplc="90DCB6EE" w:tentative="1">
      <w:start w:val="1"/>
      <w:numFmt w:val="bullet"/>
      <w:lvlText w:val="●"/>
      <w:lvlJc w:val="left"/>
      <w:pPr>
        <w:ind w:left="720" w:hanging="360"/>
      </w:pPr>
    </w:lvl>
    <w:lvl w:ilvl="1" w:tplc="3D9043A2" w:tentative="1">
      <w:start w:val="1"/>
      <w:numFmt w:val="bullet"/>
      <w:lvlText w:val="○"/>
      <w:lvlJc w:val="left"/>
      <w:pPr>
        <w:ind w:left="1440" w:hanging="360"/>
      </w:pPr>
    </w:lvl>
    <w:lvl w:ilvl="2" w:tplc="213452C6" w:tentative="1">
      <w:start w:val="1"/>
      <w:numFmt w:val="bullet"/>
      <w:lvlText w:val="■"/>
      <w:lvlJc w:val="left"/>
      <w:pPr>
        <w:ind w:left="2160" w:hanging="360"/>
      </w:pPr>
    </w:lvl>
    <w:lvl w:ilvl="3" w:tplc="CDB4EA04" w:tentative="1">
      <w:start w:val="1"/>
      <w:numFmt w:val="bullet"/>
      <w:lvlText w:val="●"/>
      <w:lvlJc w:val="left"/>
      <w:pPr>
        <w:ind w:left="2880" w:hanging="360"/>
      </w:pPr>
    </w:lvl>
    <w:lvl w:ilvl="4" w:tplc="2F74EABE" w:tentative="1">
      <w:start w:val="1"/>
      <w:numFmt w:val="bullet"/>
      <w:lvlText w:val="○"/>
      <w:lvlJc w:val="left"/>
      <w:pPr>
        <w:ind w:left="3600" w:hanging="360"/>
      </w:pPr>
    </w:lvl>
    <w:lvl w:ilvl="5" w:tplc="16841DF8" w:tentative="1">
      <w:start w:val="1"/>
      <w:numFmt w:val="bullet"/>
      <w:lvlText w:val="■"/>
      <w:lvlJc w:val="left"/>
      <w:pPr>
        <w:ind w:left="4320" w:hanging="360"/>
      </w:pPr>
    </w:lvl>
    <w:lvl w:ilvl="6" w:tplc="10306C78" w:tentative="1">
      <w:start w:val="1"/>
      <w:numFmt w:val="bullet"/>
      <w:lvlText w:val="●"/>
      <w:lvlJc w:val="left"/>
      <w:pPr>
        <w:ind w:left="5040" w:hanging="360"/>
      </w:pPr>
    </w:lvl>
    <w:lvl w:ilvl="7" w:tplc="C26C4606" w:tentative="1">
      <w:start w:val="1"/>
      <w:numFmt w:val="bullet"/>
      <w:lvlText w:val="●"/>
      <w:lvlJc w:val="left"/>
      <w:pPr>
        <w:ind w:left="5760" w:hanging="360"/>
      </w:pPr>
    </w:lvl>
    <w:lvl w:ilvl="8" w:tplc="C47AF16A" w:tentative="1">
      <w:start w:val="1"/>
      <w:numFmt w:val="bullet"/>
      <w:lvlText w:val="●"/>
      <w:lvlJc w:val="left"/>
      <w:pPr>
        <w:ind w:left="6480" w:hanging="360"/>
      </w:pPr>
    </w:lvl>
  </w:abstractNum>
  <w:num w:numId="1" w16cid:durableId="2048018023">
    <w:abstractNumId w:val="1"/>
    <w:lvlOverride w:ilvl="0">
      <w:startOverride w:val="1"/>
    </w:lvlOverride>
  </w:num>
  <w:num w:numId="2" w16cid:durableId="14042521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2BB"/>
    <w:rsid w:val="000222BB"/>
    <w:rsid w:val="000B66A9"/>
    <w:rsid w:val="006574B7"/>
    <w:rsid w:val="00BA13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CF32C"/>
  <w15:docId w15:val="{88A185C1-7ABC-4183-9A38-EEF96CBF4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5313</Words>
  <Characters>30286</Characters>
  <Application>Microsoft Office Word</Application>
  <DocSecurity>0</DocSecurity>
  <Lines>252</Lines>
  <Paragraphs>71</Paragraphs>
  <ScaleCrop>false</ScaleCrop>
  <Company/>
  <LinksUpToDate>false</LinksUpToDate>
  <CharactersWithSpaces>35528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KAIROS: Proactive Causal Root-Cause Analysis of Business Metrics with DYNOTEARS and Verified LLM Reporting</dc:title>
  <dc:creator>Palla Chetana Reddy, Varshini Yadav Nasaram, Obulagari Nandini, Dr. K RajKumar</dc:creator>
  <cp:keywords>Business Intelligence, Anomaly Detection, Causal Discovery, DYNOTEARS, Root Cause Analysis, Large Language Models, LLM Verification, Multi-Agent Systems, Data Ingestion</cp:keywords>
  <cp:lastModifiedBy>Palla Chetana Reddy (B.Tech_2027)</cp:lastModifiedBy>
  <cp:revision>2</cp:revision>
  <dcterms:created xsi:type="dcterms:W3CDTF">2026-10-08T22:23:00Z</dcterms:created>
  <dcterms:modified xsi:type="dcterms:W3CDTF">2026-10-08T22:23:00Z</dcterms:modified>
</cp:coreProperties>
</file>