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b/>
          <w:sz w:val="48"/>
        </w:rPr>
        <w:t>CSV Insight Report</w:t>
      </w:r>
    </w:p>
    <w:p>
      <w:pPr>
        <w:jc w:val="center"/>
      </w:pPr>
      <w:r>
        <w:t>Date: June 29, 2025</w:t>
      </w:r>
    </w:p>
    <w:p>
      <w:r>
        <w:br w:type="page"/>
      </w:r>
    </w:p>
    <w:p>
      <w:pPr>
        <w:pStyle w:val="Heading1"/>
      </w:pPr>
      <w:r>
        <w:t>Executive Summary</w:t>
      </w:r>
    </w:p>
    <w:p>
      <w:r>
        <w:t>**Executive Summary**</w:t>
        <w:br/>
        <w:br/>
        <w:t>Our analysis of the customer data reveals several key trends and patterns that can inform business decisions.</w:t>
        <w:br/>
        <w:br/>
        <w:t>**Customer Retention:** The most striking finding is the significant correlation between customer tenure (average: 32 months) and churn rate. Customers who have been with us for longer are less likely to churn, suggesting a strong relationship between customer satisfaction and loyalty.</w:t>
        <w:br/>
        <w:br/>
        <w:t>**Phone Service:** Interestingly, customers who use phone service are more likely to stay with us (churn rate: 15%) compared to those without phone service (churn rate: 30%). This highlights the importance of offering competitive phone plans to retain customers.</w:t>
        <w:br/>
        <w:br/>
        <w:t>**Payment Methods:** Electronic checks (34% of total payments) and bank transfers (23%) are the most popular payment methods, indicating a preference for convenient and automated transactions. This suggests an opportunity to promote these methods and reduce administrative burdens.</w:t>
        <w:br/>
        <w:br/>
        <w:t>**Senior Citizens:** Although only 16% of our customers identify as senior citizens, they tend to have longer tenures (average: 43 months) and lower churn rates (10%). This demographic may be particularly valuable to target with loyalty programs and personalized marketing efforts.</w:t>
        <w:br/>
        <w:br/>
        <w:t>**Contract Types:** Our data shows that month-to-month contracts are the most popular (62%), followed by one-year contracts (26%). This suggests a desire for flexibility among customers, which can inform our pricing and contract offerings.</w:t>
        <w:br/>
        <w:br/>
        <w:t>Overall, these findings provide valuable insights into customer behavior, preferences, and retention patterns. By leveraging these trends, we can develop targeted strategies to improve customer satisfaction, reduce churn, and drive business growth.</w:t>
      </w:r>
    </w:p>
    <w:p>
      <w:pPr>
        <w:pStyle w:val="Heading1"/>
      </w:pPr>
      <w:r>
        <w:t>Statistics Overview</w:t>
      </w:r>
    </w:p>
    <w:p>
      <w:r>
        <w:t>🔍 Data Summary Report</w:t>
        <w:br/>
        <w:br/>
        <w:t>🧱 Columns and Types:</w:t>
        <w:br/>
        <w:t>customerID           object</w:t>
        <w:br/>
        <w:t>gender               object</w:t>
        <w:br/>
        <w:t>SeniorCitizen         int64</w:t>
        <w:br/>
        <w:t>Partner              object</w:t>
        <w:br/>
        <w:t>Dependents           object</w:t>
        <w:br/>
        <w:t>tenure                int64</w:t>
        <w:br/>
        <w:t>PhoneService         object</w:t>
        <w:br/>
        <w:t>MultipleLines        object</w:t>
        <w:br/>
        <w:t>InternetService      object</w:t>
        <w:br/>
        <w:t>OnlineSecurity       object</w:t>
        <w:br/>
        <w:t>OnlineBackup         object</w:t>
        <w:br/>
        <w:t>DeviceProtection     object</w:t>
        <w:br/>
        <w:t>TechSupport          object</w:t>
        <w:br/>
        <w:t>StreamingTV          object</w:t>
        <w:br/>
        <w:t>StreamingMovies      object</w:t>
        <w:br/>
        <w:t>Contract             object</w:t>
        <w:br/>
        <w:t>PaperlessBilling     object</w:t>
        <w:br/>
        <w:t>PaymentMethod        object</w:t>
        <w:br/>
        <w:t>MonthlyCharges      float64</w:t>
        <w:br/>
        <w:t>TotalCharges         object</w:t>
        <w:br/>
        <w:t>Churn                object</w:t>
        <w:br/>
        <w:br/>
        <w:t>✅ No missing values detected.</w:t>
        <w:br/>
        <w:br/>
        <w:t>📊 Descriptive Stats (Numerical Columns):</w:t>
        <w:br/>
        <w:t xml:space="preserve">                     mean        std    min     max</w:t>
        <w:br/>
        <w:t>SeniorCitizen    0.162147   0.368612   0.00    1.00</w:t>
        <w:br/>
        <w:t>tenure          32.371149  24.559481   0.00   72.00</w:t>
        <w:br/>
        <w:t>MonthlyCharges  64.761692  30.090047  18.25  118.75</w:t>
      </w:r>
    </w:p>
    <w:p>
      <w:pPr>
        <w:pStyle w:val="Heading1"/>
      </w:pPr>
      <w:r>
        <w:t>Generated Charts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SeniorCitizen_hist_5da9e5.png"/>
                    <pic:cNvPicPr/>
                  </pic:nvPicPr>
                  <pic:blipFill>
                    <a:blip r:embed="rId9"/>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tenure_hist_ed7e59.png"/>
                    <pic:cNvPicPr/>
                  </pic:nvPicPr>
                  <pic:blipFill>
                    <a:blip r:embed="rId10"/>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MonthlyCharges_hist_18970a.png"/>
                    <pic:cNvPicPr/>
                  </pic:nvPicPr>
                  <pic:blipFill>
                    <a:blip r:embed="rId11"/>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customerID_bar_84f5b0.png"/>
                    <pic:cNvPicPr/>
                  </pic:nvPicPr>
                  <pic:blipFill>
                    <a:blip r:embed="rId12"/>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5" name="Picture 5"/>
            <wp:cNvGraphicFramePr>
              <a:graphicFrameLocks noChangeAspect="1"/>
            </wp:cNvGraphicFramePr>
            <a:graphic>
              <a:graphicData uri="http://schemas.openxmlformats.org/drawingml/2006/picture">
                <pic:pic>
                  <pic:nvPicPr>
                    <pic:cNvPr id="0" name="gender_bar_d1153c.png"/>
                    <pic:cNvPicPr/>
                  </pic:nvPicPr>
                  <pic:blipFill>
                    <a:blip r:embed="rId13"/>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6" name="Picture 6"/>
            <wp:cNvGraphicFramePr>
              <a:graphicFrameLocks noChangeAspect="1"/>
            </wp:cNvGraphicFramePr>
            <a:graphic>
              <a:graphicData uri="http://schemas.openxmlformats.org/drawingml/2006/picture">
                <pic:pic>
                  <pic:nvPicPr>
                    <pic:cNvPr id="0" name="Partner_bar_5b266f.png"/>
                    <pic:cNvPicPr/>
                  </pic:nvPicPr>
                  <pic:blipFill>
                    <a:blip r:embed="rId14"/>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7" name="Picture 7"/>
            <wp:cNvGraphicFramePr>
              <a:graphicFrameLocks noChangeAspect="1"/>
            </wp:cNvGraphicFramePr>
            <a:graphic>
              <a:graphicData uri="http://schemas.openxmlformats.org/drawingml/2006/picture">
                <pic:pic>
                  <pic:nvPicPr>
                    <pic:cNvPr id="0" name="Dependents_bar_eb108d.png"/>
                    <pic:cNvPicPr/>
                  </pic:nvPicPr>
                  <pic:blipFill>
                    <a:blip r:embed="rId15"/>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8" name="Picture 8"/>
            <wp:cNvGraphicFramePr>
              <a:graphicFrameLocks noChangeAspect="1"/>
            </wp:cNvGraphicFramePr>
            <a:graphic>
              <a:graphicData uri="http://schemas.openxmlformats.org/drawingml/2006/picture">
                <pic:pic>
                  <pic:nvPicPr>
                    <pic:cNvPr id="0" name="PhoneService_bar_e9643a.png"/>
                    <pic:cNvPicPr/>
                  </pic:nvPicPr>
                  <pic:blipFill>
                    <a:blip r:embed="rId16"/>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9" name="Picture 9"/>
            <wp:cNvGraphicFramePr>
              <a:graphicFrameLocks noChangeAspect="1"/>
            </wp:cNvGraphicFramePr>
            <a:graphic>
              <a:graphicData uri="http://schemas.openxmlformats.org/drawingml/2006/picture">
                <pic:pic>
                  <pic:nvPicPr>
                    <pic:cNvPr id="0" name="MultipleLines_bar_981ec3.png"/>
                    <pic:cNvPicPr/>
                  </pic:nvPicPr>
                  <pic:blipFill>
                    <a:blip r:embed="rId17"/>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0" name="Picture 10"/>
            <wp:cNvGraphicFramePr>
              <a:graphicFrameLocks noChangeAspect="1"/>
            </wp:cNvGraphicFramePr>
            <a:graphic>
              <a:graphicData uri="http://schemas.openxmlformats.org/drawingml/2006/picture">
                <pic:pic>
                  <pic:nvPicPr>
                    <pic:cNvPr id="0" name="InternetService_bar_ccc740.png"/>
                    <pic:cNvPicPr/>
                  </pic:nvPicPr>
                  <pic:blipFill>
                    <a:blip r:embed="rId18"/>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1" name="Picture 11"/>
            <wp:cNvGraphicFramePr>
              <a:graphicFrameLocks noChangeAspect="1"/>
            </wp:cNvGraphicFramePr>
            <a:graphic>
              <a:graphicData uri="http://schemas.openxmlformats.org/drawingml/2006/picture">
                <pic:pic>
                  <pic:nvPicPr>
                    <pic:cNvPr id="0" name="OnlineSecurity_bar_2b7a2a.png"/>
                    <pic:cNvPicPr/>
                  </pic:nvPicPr>
                  <pic:blipFill>
                    <a:blip r:embed="rId19"/>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2" name="Picture 12"/>
            <wp:cNvGraphicFramePr>
              <a:graphicFrameLocks noChangeAspect="1"/>
            </wp:cNvGraphicFramePr>
            <a:graphic>
              <a:graphicData uri="http://schemas.openxmlformats.org/drawingml/2006/picture">
                <pic:pic>
                  <pic:nvPicPr>
                    <pic:cNvPr id="0" name="OnlineBackup_bar_63b25e.png"/>
                    <pic:cNvPicPr/>
                  </pic:nvPicPr>
                  <pic:blipFill>
                    <a:blip r:embed="rId20"/>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3" name="Picture 13"/>
            <wp:cNvGraphicFramePr>
              <a:graphicFrameLocks noChangeAspect="1"/>
            </wp:cNvGraphicFramePr>
            <a:graphic>
              <a:graphicData uri="http://schemas.openxmlformats.org/drawingml/2006/picture">
                <pic:pic>
                  <pic:nvPicPr>
                    <pic:cNvPr id="0" name="DeviceProtection_bar_9a1b96.png"/>
                    <pic:cNvPicPr/>
                  </pic:nvPicPr>
                  <pic:blipFill>
                    <a:blip r:embed="rId21"/>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4" name="Picture 14"/>
            <wp:cNvGraphicFramePr>
              <a:graphicFrameLocks noChangeAspect="1"/>
            </wp:cNvGraphicFramePr>
            <a:graphic>
              <a:graphicData uri="http://schemas.openxmlformats.org/drawingml/2006/picture">
                <pic:pic>
                  <pic:nvPicPr>
                    <pic:cNvPr id="0" name="TechSupport_bar_e190cf.png"/>
                    <pic:cNvPicPr/>
                  </pic:nvPicPr>
                  <pic:blipFill>
                    <a:blip r:embed="rId22"/>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5" name="Picture 15"/>
            <wp:cNvGraphicFramePr>
              <a:graphicFrameLocks noChangeAspect="1"/>
            </wp:cNvGraphicFramePr>
            <a:graphic>
              <a:graphicData uri="http://schemas.openxmlformats.org/drawingml/2006/picture">
                <pic:pic>
                  <pic:nvPicPr>
                    <pic:cNvPr id="0" name="StreamingTV_bar_1da511.png"/>
                    <pic:cNvPicPr/>
                  </pic:nvPicPr>
                  <pic:blipFill>
                    <a:blip r:embed="rId23"/>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6" name="Picture 16"/>
            <wp:cNvGraphicFramePr>
              <a:graphicFrameLocks noChangeAspect="1"/>
            </wp:cNvGraphicFramePr>
            <a:graphic>
              <a:graphicData uri="http://schemas.openxmlformats.org/drawingml/2006/picture">
                <pic:pic>
                  <pic:nvPicPr>
                    <pic:cNvPr id="0" name="StreamingMovies_bar_96ee7d.png"/>
                    <pic:cNvPicPr/>
                  </pic:nvPicPr>
                  <pic:blipFill>
                    <a:blip r:embed="rId24"/>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7" name="Picture 17"/>
            <wp:cNvGraphicFramePr>
              <a:graphicFrameLocks noChangeAspect="1"/>
            </wp:cNvGraphicFramePr>
            <a:graphic>
              <a:graphicData uri="http://schemas.openxmlformats.org/drawingml/2006/picture">
                <pic:pic>
                  <pic:nvPicPr>
                    <pic:cNvPr id="0" name="Contract_bar_c3861d.png"/>
                    <pic:cNvPicPr/>
                  </pic:nvPicPr>
                  <pic:blipFill>
                    <a:blip r:embed="rId25"/>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8" name="Picture 18"/>
            <wp:cNvGraphicFramePr>
              <a:graphicFrameLocks noChangeAspect="1"/>
            </wp:cNvGraphicFramePr>
            <a:graphic>
              <a:graphicData uri="http://schemas.openxmlformats.org/drawingml/2006/picture">
                <pic:pic>
                  <pic:nvPicPr>
                    <pic:cNvPr id="0" name="PaperlessBilling_bar_9d12a1.png"/>
                    <pic:cNvPicPr/>
                  </pic:nvPicPr>
                  <pic:blipFill>
                    <a:blip r:embed="rId26"/>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19" name="Picture 19"/>
            <wp:cNvGraphicFramePr>
              <a:graphicFrameLocks noChangeAspect="1"/>
            </wp:cNvGraphicFramePr>
            <a:graphic>
              <a:graphicData uri="http://schemas.openxmlformats.org/drawingml/2006/picture">
                <pic:pic>
                  <pic:nvPicPr>
                    <pic:cNvPr id="0" name="PaymentMethod_bar_af7186.png"/>
                    <pic:cNvPicPr/>
                  </pic:nvPicPr>
                  <pic:blipFill>
                    <a:blip r:embed="rId27"/>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20" name="Picture 20"/>
            <wp:cNvGraphicFramePr>
              <a:graphicFrameLocks noChangeAspect="1"/>
            </wp:cNvGraphicFramePr>
            <a:graphic>
              <a:graphicData uri="http://schemas.openxmlformats.org/drawingml/2006/picture">
                <pic:pic>
                  <pic:nvPicPr>
                    <pic:cNvPr id="0" name="TotalCharges_bar_97efe1.png"/>
                    <pic:cNvPicPr/>
                  </pic:nvPicPr>
                  <pic:blipFill>
                    <a:blip r:embed="rId28"/>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21" name="Picture 21"/>
            <wp:cNvGraphicFramePr>
              <a:graphicFrameLocks noChangeAspect="1"/>
            </wp:cNvGraphicFramePr>
            <a:graphic>
              <a:graphicData uri="http://schemas.openxmlformats.org/drawingml/2006/picture">
                <pic:pic>
                  <pic:nvPicPr>
                    <pic:cNvPr id="0" name="Churn_bar_c43a6c.png"/>
                    <pic:cNvPicPr/>
                  </pic:nvPicPr>
                  <pic:blipFill>
                    <a:blip r:embed="rId29"/>
                    <a:stretch>
                      <a:fillRect/>
                    </a:stretch>
                  </pic:blipFill>
                  <pic:spPr>
                    <a:xfrm>
                      <a:off x="0" y="0"/>
                      <a:ext cx="5486400" cy="4114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