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WEEK 3 INTERNSHIP REPORT</w:t>
      </w:r>
    </w:p>
    <w:p>
      <w:pPr>
        <w:pStyle w:val="Title"/>
        <w:jc w:val="center"/>
      </w:pPr>
      <w:r>
        <w:t>Customer Segmentation Using K Means Clustering</w:t>
      </w:r>
    </w:p>
    <w:p>
      <w:pPr>
        <w:pStyle w:val="Subtitle"/>
        <w:jc w:val="center"/>
      </w:pPr>
      <w:r>
        <w:t>Unsupervised learning analysis of the UCI Wholesale Customers dataset</w:t>
      </w:r>
    </w:p>
    <w:p>
      <w:r>
        <w:br/>
        <w:br/>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shd w:fill="143A5A"/>
          </w:tcPr>
          <w:p>
            <w:pPr>
              <w:jc w:val="center"/>
            </w:pPr>
            <w:r/>
            <w:r>
              <w:rPr>
                <w:b/>
                <w:color w:val="FFFFFF"/>
                <w:sz w:val="18"/>
              </w:rPr>
              <w:t>Report detail</w:t>
            </w:r>
          </w:p>
        </w:tc>
        <w:tc>
          <w:tcPr>
            <w:tcW w:type="dxa" w:w="4939"/>
            <w:shd w:fill="143A5A"/>
          </w:tcPr>
          <w:p>
            <w:pPr>
              <w:jc w:val="center"/>
            </w:pPr>
            <w:r/>
            <w:r>
              <w:rPr>
                <w:b/>
                <w:color w:val="FFFFFF"/>
                <w:sz w:val="18"/>
              </w:rPr>
              <w:t>Value</w:t>
            </w:r>
          </w:p>
        </w:tc>
      </w:tr>
      <w:tr>
        <w:tc>
          <w:tcPr>
            <w:tcW w:type="dxa" w:w="4939"/>
            <w:vAlign w:val="center"/>
          </w:tcPr>
          <w:p>
            <w:r/>
            <w:r>
              <w:rPr>
                <w:sz w:val="18"/>
              </w:rPr>
              <w:t>Task</w:t>
            </w:r>
          </w:p>
        </w:tc>
        <w:tc>
          <w:tcPr>
            <w:tcW w:type="dxa" w:w="4939"/>
            <w:vAlign w:val="center"/>
          </w:tcPr>
          <w:p>
            <w:r/>
            <w:r>
              <w:rPr>
                <w:sz w:val="18"/>
              </w:rPr>
              <w:t>Unsupervised Learning and Clustering Analysis</w:t>
            </w:r>
          </w:p>
        </w:tc>
      </w:tr>
      <w:tr>
        <w:tc>
          <w:tcPr>
            <w:tcW w:type="dxa" w:w="4939"/>
            <w:vAlign w:val="center"/>
            <w:shd w:fill="EEF4F8"/>
          </w:tcPr>
          <w:p>
            <w:r/>
            <w:r>
              <w:rPr>
                <w:sz w:val="18"/>
              </w:rPr>
              <w:t>Dataset</w:t>
            </w:r>
          </w:p>
        </w:tc>
        <w:tc>
          <w:tcPr>
            <w:tcW w:type="dxa" w:w="4939"/>
            <w:vAlign w:val="center"/>
            <w:shd w:fill="EEF4F8"/>
          </w:tcPr>
          <w:p>
            <w:r/>
            <w:r>
              <w:rPr>
                <w:sz w:val="18"/>
              </w:rPr>
              <w:t>UCI Wholesale Customers dataset, 440 observations</w:t>
            </w:r>
          </w:p>
        </w:tc>
      </w:tr>
      <w:tr>
        <w:tc>
          <w:tcPr>
            <w:tcW w:type="dxa" w:w="4939"/>
            <w:vAlign w:val="center"/>
          </w:tcPr>
          <w:p>
            <w:r/>
            <w:r>
              <w:rPr>
                <w:sz w:val="18"/>
              </w:rPr>
              <w:t>Algorithm</w:t>
            </w:r>
          </w:p>
        </w:tc>
        <w:tc>
          <w:tcPr>
            <w:tcW w:type="dxa" w:w="4939"/>
            <w:vAlign w:val="center"/>
          </w:tcPr>
          <w:p>
            <w:r/>
            <w:r>
              <w:rPr>
                <w:sz w:val="18"/>
              </w:rPr>
              <w:t>K Means clustering with k means plus plus initialization</w:t>
            </w:r>
          </w:p>
        </w:tc>
      </w:tr>
      <w:tr>
        <w:tc>
          <w:tcPr>
            <w:tcW w:type="dxa" w:w="4939"/>
            <w:vAlign w:val="center"/>
            <w:shd w:fill="EEF4F8"/>
          </w:tcPr>
          <w:p>
            <w:r/>
            <w:r>
              <w:rPr>
                <w:sz w:val="18"/>
              </w:rPr>
              <w:t>Libraries</w:t>
            </w:r>
          </w:p>
        </w:tc>
        <w:tc>
          <w:tcPr>
            <w:tcW w:type="dxa" w:w="4939"/>
            <w:vAlign w:val="center"/>
            <w:shd w:fill="EEF4F8"/>
          </w:tcPr>
          <w:p>
            <w:r/>
            <w:r>
              <w:rPr>
                <w:sz w:val="18"/>
              </w:rPr>
              <w:t>Python, Pandas, NumPy, Scikit learn, Matplotlib, Seaborn</w:t>
            </w:r>
          </w:p>
        </w:tc>
      </w:tr>
      <w:tr>
        <w:tc>
          <w:tcPr>
            <w:tcW w:type="dxa" w:w="4939"/>
            <w:vAlign w:val="center"/>
          </w:tcPr>
          <w:p>
            <w:r/>
            <w:r>
              <w:rPr>
                <w:sz w:val="18"/>
              </w:rPr>
              <w:t>Public source</w:t>
            </w:r>
          </w:p>
        </w:tc>
        <w:tc>
          <w:tcPr>
            <w:tcW w:type="dxa" w:w="4939"/>
            <w:vAlign w:val="center"/>
          </w:tcPr>
          <w:p>
            <w:r/>
            <w:r>
              <w:rPr>
                <w:sz w:val="18"/>
              </w:rPr>
              <w:t>UCI Machine Learning Repository</w:t>
            </w:r>
          </w:p>
        </w:tc>
      </w:tr>
      <w:tr>
        <w:tc>
          <w:tcPr>
            <w:tcW w:type="dxa" w:w="4939"/>
            <w:vAlign w:val="center"/>
            <w:shd w:fill="EEF4F8"/>
          </w:tcPr>
          <w:p>
            <w:r/>
            <w:r>
              <w:rPr>
                <w:sz w:val="18"/>
              </w:rPr>
              <w:t>Date</w:t>
            </w:r>
          </w:p>
        </w:tc>
        <w:tc>
          <w:tcPr>
            <w:tcW w:type="dxa" w:w="4939"/>
            <w:vAlign w:val="center"/>
            <w:shd w:fill="EEF4F8"/>
          </w:tcPr>
          <w:p>
            <w:r/>
            <w:r>
              <w:rPr>
                <w:sz w:val="18"/>
              </w:rPr>
              <w:t>29 September 2026</w:t>
            </w:r>
          </w:p>
        </w:tc>
      </w:tr>
    </w:tbl>
    <w:p/>
    <w:p>
      <w:r>
        <w:t>Purpose. This report segments wholesale customers using annual spending across six product categories. It explains why preprocessing is necessary, how the number of clusters was selected, what each cluster represents, and how the results can be used as a starting point for differentiated customer strategy.</w:t>
      </w:r>
    </w:p>
    <w:p>
      <w:r>
        <w:br w:type="page"/>
      </w:r>
    </w:p>
    <w:p>
      <w:pPr>
        <w:pStyle w:val="Title"/>
      </w:pPr>
      <w:r>
        <w:t>Executive summary</w:t>
      </w:r>
    </w:p>
    <w:p>
      <w:r>
        <w:t>The analysis identifies three meaningful customer segments from 440 wholesale customers. The selected K Means solution is based on transformed and standardized spending features, which prevents very large spending categories from dominating the distance calculation. The resulting groups are named Retail supply intensive, Fresh food focused, and Balanced mixed basket according to their median purchase profiles. Segmentation highlights practical differences in product demand, but it should be treated as an exploratory decision aid rather than a definitive description of every customer.</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shd w:fill="143A5A"/>
          </w:tcPr>
          <w:p>
            <w:pPr>
              <w:jc w:val="center"/>
            </w:pPr>
            <w:r/>
            <w:r>
              <w:rPr>
                <w:b/>
                <w:color w:val="FFFFFF"/>
                <w:sz w:val="18"/>
              </w:rPr>
              <w:t>Conclusion</w:t>
            </w:r>
          </w:p>
        </w:tc>
        <w:tc>
          <w:tcPr>
            <w:tcW w:type="dxa" w:w="4939"/>
            <w:shd w:fill="143A5A"/>
          </w:tcPr>
          <w:p>
            <w:pPr>
              <w:jc w:val="center"/>
            </w:pPr>
            <w:r/>
            <w:r>
              <w:rPr>
                <w:b/>
                <w:color w:val="FFFFFF"/>
                <w:sz w:val="18"/>
              </w:rPr>
              <w:t>Evidence</w:t>
            </w:r>
          </w:p>
        </w:tc>
      </w:tr>
      <w:tr>
        <w:tc>
          <w:tcPr>
            <w:tcW w:type="dxa" w:w="4939"/>
            <w:vAlign w:val="center"/>
          </w:tcPr>
          <w:p>
            <w:r/>
            <w:r>
              <w:rPr>
                <w:sz w:val="18"/>
              </w:rPr>
              <w:t>Three clusters are actionable</w:t>
            </w:r>
          </w:p>
        </w:tc>
        <w:tc>
          <w:tcPr>
            <w:tcW w:type="dxa" w:w="4939"/>
            <w:vAlign w:val="center"/>
          </w:tcPr>
          <w:p>
            <w:r/>
            <w:r>
              <w:rPr>
                <w:sz w:val="18"/>
              </w:rPr>
              <w:t>The solution separates 147, 212, and 81 customers across distinct spending profiles.</w:t>
            </w:r>
          </w:p>
        </w:tc>
      </w:tr>
      <w:tr>
        <w:tc>
          <w:tcPr>
            <w:tcW w:type="dxa" w:w="4939"/>
            <w:vAlign w:val="center"/>
            <w:shd w:fill="EEF4F8"/>
          </w:tcPr>
          <w:p>
            <w:r/>
            <w:r>
              <w:rPr>
                <w:sz w:val="18"/>
              </w:rPr>
              <w:t>Preprocessing is essential</w:t>
            </w:r>
          </w:p>
        </w:tc>
        <w:tc>
          <w:tcPr>
            <w:tcW w:type="dxa" w:w="4939"/>
            <w:vAlign w:val="center"/>
            <w:shd w:fill="EEF4F8"/>
          </w:tcPr>
          <w:p>
            <w:r/>
            <w:r>
              <w:rPr>
                <w:sz w:val="18"/>
              </w:rPr>
              <w:t>Log transformation reduces skew; standardization gives each category comparable influence.</w:t>
            </w:r>
          </w:p>
        </w:tc>
      </w:tr>
      <w:tr>
        <w:tc>
          <w:tcPr>
            <w:tcW w:type="dxa" w:w="4939"/>
            <w:vAlign w:val="center"/>
          </w:tcPr>
          <w:p>
            <w:r/>
            <w:r>
              <w:rPr>
                <w:sz w:val="18"/>
              </w:rPr>
              <w:t>Segments support differentiated action</w:t>
            </w:r>
          </w:p>
        </w:tc>
        <w:tc>
          <w:tcPr>
            <w:tcW w:type="dxa" w:w="4939"/>
            <w:vAlign w:val="center"/>
          </w:tcPr>
          <w:p>
            <w:r/>
            <w:r>
              <w:rPr>
                <w:sz w:val="18"/>
              </w:rPr>
              <w:t>Profiles suggest different assortment, promotion, and service priorities.</w:t>
            </w:r>
          </w:p>
        </w:tc>
      </w:tr>
      <w:tr>
        <w:tc>
          <w:tcPr>
            <w:tcW w:type="dxa" w:w="4939"/>
            <w:vAlign w:val="center"/>
            <w:shd w:fill="EEF4F8"/>
          </w:tcPr>
          <w:p>
            <w:r/>
            <w:r>
              <w:rPr>
                <w:sz w:val="18"/>
              </w:rPr>
              <w:t>Validation remains necessary</w:t>
            </w:r>
          </w:p>
        </w:tc>
        <w:tc>
          <w:tcPr>
            <w:tcW w:type="dxa" w:w="4939"/>
            <w:vAlign w:val="center"/>
            <w:shd w:fill="EEF4F8"/>
          </w:tcPr>
          <w:p>
            <w:r/>
            <w:r>
              <w:rPr>
                <w:sz w:val="18"/>
              </w:rPr>
              <w:t>Cluster quality is evaluated internally; business testing is required before operational deployment.</w:t>
            </w:r>
          </w:p>
        </w:tc>
      </w:tr>
    </w:tbl>
    <w:p/>
    <w:p>
      <w:pPr>
        <w:pStyle w:val="Heading1"/>
      </w:pPr>
      <w:r>
        <w:t>Contents</w:t>
      </w:r>
    </w:p>
    <w:p>
      <w:r>
        <w:t>1 Dataset and problem framing  2 Methodology  3 Data preparation  4 Cluster selection  5 Results and interpretation  6 Business implications  7 Limitations  8 Reproducibility appendix</w:t>
      </w:r>
    </w:p>
    <w:p>
      <w:pPr>
        <w:pStyle w:val="Heading1"/>
      </w:pPr>
      <w:r>
        <w:t>1 Dataset and problem framing</w:t>
      </w:r>
    </w:p>
    <w:p>
      <w:r>
        <w:t>The UCI Wholesale Customers dataset contains annual spending values for 440 customers across Fresh, Milk, Grocery, Frozen, Detergents Paper, and Delicassen product categories. It also records customer Channel and Region. The spending variables are appropriate for clustering because they describe purchasing behavior without requiring a target label. The segmentation objective is to group customers with similar basket composition and order magnitude so that their needs can be compared.</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3293"/>
            <w:shd w:fill="143A5A"/>
          </w:tcPr>
          <w:p>
            <w:pPr>
              <w:jc w:val="center"/>
            </w:pPr>
            <w:r/>
            <w:r>
              <w:rPr>
                <w:b/>
                <w:color w:val="FFFFFF"/>
                <w:sz w:val="18"/>
              </w:rPr>
              <w:t>Variable group</w:t>
            </w:r>
          </w:p>
        </w:tc>
        <w:tc>
          <w:tcPr>
            <w:tcW w:type="dxa" w:w="3293"/>
            <w:shd w:fill="143A5A"/>
          </w:tcPr>
          <w:p>
            <w:pPr>
              <w:jc w:val="center"/>
            </w:pPr>
            <w:r/>
            <w:r>
              <w:rPr>
                <w:b/>
                <w:color w:val="FFFFFF"/>
                <w:sz w:val="18"/>
              </w:rPr>
              <w:t>Fields</w:t>
            </w:r>
          </w:p>
        </w:tc>
        <w:tc>
          <w:tcPr>
            <w:tcW w:type="dxa" w:w="3293"/>
            <w:shd w:fill="143A5A"/>
          </w:tcPr>
          <w:p>
            <w:pPr>
              <w:jc w:val="center"/>
            </w:pPr>
            <w:r/>
            <w:r>
              <w:rPr>
                <w:b/>
                <w:color w:val="FFFFFF"/>
                <w:sz w:val="18"/>
              </w:rPr>
              <w:t>Use in analysis</w:t>
            </w:r>
          </w:p>
        </w:tc>
      </w:tr>
      <w:tr>
        <w:tc>
          <w:tcPr>
            <w:tcW w:type="dxa" w:w="3293"/>
            <w:vAlign w:val="center"/>
          </w:tcPr>
          <w:p>
            <w:r/>
            <w:r>
              <w:rPr>
                <w:sz w:val="18"/>
              </w:rPr>
              <w:t>Clustering features</w:t>
            </w:r>
          </w:p>
        </w:tc>
        <w:tc>
          <w:tcPr>
            <w:tcW w:type="dxa" w:w="3293"/>
            <w:vAlign w:val="center"/>
          </w:tcPr>
          <w:p>
            <w:r/>
            <w:r>
              <w:rPr>
                <w:sz w:val="18"/>
              </w:rPr>
              <w:t>Fresh, Milk, Grocery, Frozen, Detergents Paper, Delicassen</w:t>
            </w:r>
          </w:p>
        </w:tc>
        <w:tc>
          <w:tcPr>
            <w:tcW w:type="dxa" w:w="3293"/>
            <w:vAlign w:val="center"/>
          </w:tcPr>
          <w:p>
            <w:r/>
            <w:r>
              <w:rPr>
                <w:sz w:val="18"/>
              </w:rPr>
              <w:t>Annual spending behavior used to form clusters</w:t>
            </w:r>
          </w:p>
        </w:tc>
      </w:tr>
      <w:tr>
        <w:tc>
          <w:tcPr>
            <w:tcW w:type="dxa" w:w="3293"/>
            <w:vAlign w:val="center"/>
            <w:shd w:fill="EEF4F8"/>
          </w:tcPr>
          <w:p>
            <w:r/>
            <w:r>
              <w:rPr>
                <w:sz w:val="18"/>
              </w:rPr>
              <w:t>Context variables</w:t>
            </w:r>
          </w:p>
        </w:tc>
        <w:tc>
          <w:tcPr>
            <w:tcW w:type="dxa" w:w="3293"/>
            <w:vAlign w:val="center"/>
            <w:shd w:fill="EEF4F8"/>
          </w:tcPr>
          <w:p>
            <w:r/>
            <w:r>
              <w:rPr>
                <w:sz w:val="18"/>
              </w:rPr>
              <w:t>Channel, Region</w:t>
            </w:r>
          </w:p>
        </w:tc>
        <w:tc>
          <w:tcPr>
            <w:tcW w:type="dxa" w:w="3293"/>
            <w:vAlign w:val="center"/>
            <w:shd w:fill="EEF4F8"/>
          </w:tcPr>
          <w:p>
            <w:r/>
            <w:r>
              <w:rPr>
                <w:sz w:val="18"/>
              </w:rPr>
              <w:t>Retained for post cluster interpretation, not used to define distance</w:t>
            </w:r>
          </w:p>
        </w:tc>
      </w:tr>
      <w:tr>
        <w:tc>
          <w:tcPr>
            <w:tcW w:type="dxa" w:w="3293"/>
            <w:vAlign w:val="center"/>
          </w:tcPr>
          <w:p>
            <w:r/>
            <w:r>
              <w:rPr>
                <w:sz w:val="18"/>
              </w:rPr>
              <w:t>Unit of analysis</w:t>
            </w:r>
          </w:p>
        </w:tc>
        <w:tc>
          <w:tcPr>
            <w:tcW w:type="dxa" w:w="3293"/>
            <w:vAlign w:val="center"/>
          </w:tcPr>
          <w:p>
            <w:r/>
            <w:r>
              <w:rPr>
                <w:sz w:val="18"/>
              </w:rPr>
              <w:t>One customer</w:t>
            </w:r>
          </w:p>
        </w:tc>
        <w:tc>
          <w:tcPr>
            <w:tcW w:type="dxa" w:w="3293"/>
            <w:vAlign w:val="center"/>
          </w:tcPr>
          <w:p>
            <w:r/>
            <w:r>
              <w:rPr>
                <w:sz w:val="18"/>
              </w:rPr>
              <w:t>Each row receives one cluster assignment</w:t>
            </w:r>
          </w:p>
        </w:tc>
      </w:tr>
    </w:tbl>
    <w:p/>
    <w:p>
      <w:r>
        <w:t>Source citation: UCI Machine Learning Repository. “Wholesale customers Data Set.” https://archive.ics.uci.edu/ml/datasets/Wholesale+customers (accessed 29 September 2026).</w:t>
      </w:r>
    </w:p>
    <w:p>
      <w:pPr>
        <w:pStyle w:val="Heading1"/>
      </w:pPr>
      <w:r>
        <w:t>2 Methodology and rationale</w:t>
      </w:r>
    </w:p>
    <w:p>
      <w:r>
        <w:t>K Means clustering was selected because the dataset has a moderate number of numerical observations, the aim is to create mutually exclusive customer groups, and centroid profiles are straightforward to explain. The algorithm iteratively assigns each customer to its nearest centroid and recalculates centroids to minimize within cluster squared distance. K Means assumes roughly compact, distance-based groups, so it is paired with transformations and diagnostic checks rather than used blindly.</w:t>
      </w:r>
    </w:p>
    <w:p>
      <w:pPr>
        <w:ind w:left="259" w:right="259"/>
        <w:shd w:fill="F2F5F7"/>
      </w:pPr>
      <w:r>
        <w:rPr>
          <w:rFonts w:ascii="Consolas" w:hAnsi="Consolas"/>
          <w:color w:val="1C3750"/>
          <w:sz w:val="16"/>
        </w:rPr>
        <w:t>from sklearn.preprocessing import StandardScaler</w:t>
        <w:br/>
        <w:t>from sklearn.cluster import KMeans</w:t>
        <w:br/>
        <w:t>from sklearn.metrics import silhouette_score</w:t>
        <w:br/>
        <w:br/>
        <w:t>features = ['Fresh','Milk','Grocery','Frozen','Detergents_Paper','Delicassen']</w:t>
        <w:br/>
        <w:t>X = np.log1p(df[features])</w:t>
        <w:br/>
        <w:t>X_scaled = StandardScaler().fit_transform(X)</w:t>
        <w:br/>
        <w:t>model = KMeans(n_clusters=3, init='k-means++', n_init=30, random_state=42)</w:t>
        <w:br/>
        <w:t>df['Cluster'] = model.fit_predict(X_scaled)</w:t>
        <w:br/>
        <w:t>print(silhouette_score(X_scaled, df['Cluster']))</w:t>
      </w:r>
    </w:p>
    <w:p>
      <w:r>
        <w:br w:type="page"/>
      </w:r>
    </w:p>
    <w:p>
      <w:pPr>
        <w:pStyle w:val="Heading1"/>
      </w:pPr>
      <w:r>
        <w:t>3 Data preparation</w:t>
      </w:r>
    </w:p>
    <w:p>
      <w:r>
        <w:t>The CSV was inspected for structure, missingness, and duplicates before modeling. The six spending categories had no missing entries. Because monetary spend variables are nonnegative and strongly right-skewed, log1p was applied. This preserves zero values while reducing the influence of very high spenders. StandardScaler was then used so that each transformed feature has mean zero and standard deviation one. Channel and Region were deliberately excluded from the clustering input to keep segments defined by purchasing behavior rather than geography or outlet type.</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3293"/>
            <w:shd w:fill="143A5A"/>
          </w:tcPr>
          <w:p>
            <w:pPr>
              <w:jc w:val="center"/>
            </w:pPr>
            <w:r/>
            <w:r>
              <w:rPr>
                <w:b/>
                <w:color w:val="FFFFFF"/>
                <w:sz w:val="18"/>
              </w:rPr>
              <w:t>Preparation step</w:t>
            </w:r>
          </w:p>
        </w:tc>
        <w:tc>
          <w:tcPr>
            <w:tcW w:type="dxa" w:w="3293"/>
            <w:shd w:fill="143A5A"/>
          </w:tcPr>
          <w:p>
            <w:pPr>
              <w:jc w:val="center"/>
            </w:pPr>
            <w:r/>
            <w:r>
              <w:rPr>
                <w:b/>
                <w:color w:val="FFFFFF"/>
                <w:sz w:val="18"/>
              </w:rPr>
              <w:t>Action</w:t>
            </w:r>
          </w:p>
        </w:tc>
        <w:tc>
          <w:tcPr>
            <w:tcW w:type="dxa" w:w="3293"/>
            <w:shd w:fill="143A5A"/>
          </w:tcPr>
          <w:p>
            <w:pPr>
              <w:jc w:val="center"/>
            </w:pPr>
            <w:r/>
            <w:r>
              <w:rPr>
                <w:b/>
                <w:color w:val="FFFFFF"/>
                <w:sz w:val="18"/>
              </w:rPr>
              <w:t>Reason</w:t>
            </w:r>
          </w:p>
        </w:tc>
      </w:tr>
      <w:tr>
        <w:tc>
          <w:tcPr>
            <w:tcW w:type="dxa" w:w="3293"/>
            <w:vAlign w:val="center"/>
          </w:tcPr>
          <w:p>
            <w:r/>
            <w:r>
              <w:rPr>
                <w:sz w:val="18"/>
              </w:rPr>
              <w:t>Quality check</w:t>
            </w:r>
          </w:p>
        </w:tc>
        <w:tc>
          <w:tcPr>
            <w:tcW w:type="dxa" w:w="3293"/>
            <w:vAlign w:val="center"/>
          </w:tcPr>
          <w:p>
            <w:r/>
            <w:r>
              <w:rPr>
                <w:sz w:val="18"/>
              </w:rPr>
              <w:t>Verified 440 records and no missing values in six spend features</w:t>
            </w:r>
          </w:p>
        </w:tc>
        <w:tc>
          <w:tcPr>
            <w:tcW w:type="dxa" w:w="3293"/>
            <w:vAlign w:val="center"/>
          </w:tcPr>
          <w:p>
            <w:r/>
            <w:r>
              <w:rPr>
                <w:sz w:val="18"/>
              </w:rPr>
              <w:t>Avoids unexamined distance calculations with missing data</w:t>
            </w:r>
          </w:p>
        </w:tc>
      </w:tr>
      <w:tr>
        <w:tc>
          <w:tcPr>
            <w:tcW w:type="dxa" w:w="3293"/>
            <w:vAlign w:val="center"/>
            <w:shd w:fill="EEF4F8"/>
          </w:tcPr>
          <w:p>
            <w:r/>
            <w:r>
              <w:rPr>
                <w:sz w:val="18"/>
              </w:rPr>
              <w:t>Skew handling</w:t>
            </w:r>
          </w:p>
        </w:tc>
        <w:tc>
          <w:tcPr>
            <w:tcW w:type="dxa" w:w="3293"/>
            <w:vAlign w:val="center"/>
            <w:shd w:fill="EEF4F8"/>
          </w:tcPr>
          <w:p>
            <w:r/>
            <w:r>
              <w:rPr>
                <w:sz w:val="18"/>
              </w:rPr>
              <w:t>Applied log1p to each spending feature</w:t>
            </w:r>
          </w:p>
        </w:tc>
        <w:tc>
          <w:tcPr>
            <w:tcW w:type="dxa" w:w="3293"/>
            <w:vAlign w:val="center"/>
            <w:shd w:fill="EEF4F8"/>
          </w:tcPr>
          <w:p>
            <w:r/>
            <w:r>
              <w:rPr>
                <w:sz w:val="18"/>
              </w:rPr>
              <w:t>Reduces leverage of unusually high annual spending</w:t>
            </w:r>
          </w:p>
        </w:tc>
      </w:tr>
      <w:tr>
        <w:tc>
          <w:tcPr>
            <w:tcW w:type="dxa" w:w="3293"/>
            <w:vAlign w:val="center"/>
          </w:tcPr>
          <w:p>
            <w:r/>
            <w:r>
              <w:rPr>
                <w:sz w:val="18"/>
              </w:rPr>
              <w:t>Scaling</w:t>
            </w:r>
          </w:p>
        </w:tc>
        <w:tc>
          <w:tcPr>
            <w:tcW w:type="dxa" w:w="3293"/>
            <w:vAlign w:val="center"/>
          </w:tcPr>
          <w:p>
            <w:r/>
            <w:r>
              <w:rPr>
                <w:sz w:val="18"/>
              </w:rPr>
              <w:t>Applied StandardScaler after transformation</w:t>
            </w:r>
          </w:p>
        </w:tc>
        <w:tc>
          <w:tcPr>
            <w:tcW w:type="dxa" w:w="3293"/>
            <w:vAlign w:val="center"/>
          </w:tcPr>
          <w:p>
            <w:r/>
            <w:r>
              <w:rPr>
                <w:sz w:val="18"/>
              </w:rPr>
              <w:t>Ensures equal contribution to Euclidean distance</w:t>
            </w:r>
          </w:p>
        </w:tc>
      </w:tr>
      <w:tr>
        <w:tc>
          <w:tcPr>
            <w:tcW w:type="dxa" w:w="3293"/>
            <w:vAlign w:val="center"/>
            <w:shd w:fill="EEF4F8"/>
          </w:tcPr>
          <w:p>
            <w:r/>
            <w:r>
              <w:rPr>
                <w:sz w:val="18"/>
              </w:rPr>
              <w:t>Context preservation</w:t>
            </w:r>
          </w:p>
        </w:tc>
        <w:tc>
          <w:tcPr>
            <w:tcW w:type="dxa" w:w="3293"/>
            <w:vAlign w:val="center"/>
            <w:shd w:fill="EEF4F8"/>
          </w:tcPr>
          <w:p>
            <w:r/>
            <w:r>
              <w:rPr>
                <w:sz w:val="18"/>
              </w:rPr>
              <w:t>Kept Channel and Region outside the feature matrix</w:t>
            </w:r>
          </w:p>
        </w:tc>
        <w:tc>
          <w:tcPr>
            <w:tcW w:type="dxa" w:w="3293"/>
            <w:vAlign w:val="center"/>
            <w:shd w:fill="EEF4F8"/>
          </w:tcPr>
          <w:p>
            <w:r/>
            <w:r>
              <w:rPr>
                <w:sz w:val="18"/>
              </w:rPr>
              <w:t>Allows independent interpretation after clustering</w:t>
            </w:r>
          </w:p>
        </w:tc>
      </w:tr>
    </w:tbl>
    <w:p/>
    <w:p>
      <w:pPr>
        <w:pStyle w:val="Heading1"/>
      </w:pPr>
      <w:r>
        <w:t>4 Selecting the number of clusters</w:t>
      </w:r>
    </w:p>
    <w:p>
      <w:pPr>
        <w:jc w:val="center"/>
      </w:pPr>
      <w:r>
        <w:drawing>
          <wp:inline xmlns:a="http://schemas.openxmlformats.org/drawingml/2006/main" xmlns:pic="http://schemas.openxmlformats.org/drawingml/2006/picture">
            <wp:extent cx="5989320" cy="3393948"/>
            <wp:docPr id="1" name="Picture 1" descr="Figure 1. Elbow and silhouette diagnostics for candidate K Means solutions. Source: UCI Wholesale Customers calculations." title="Fig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5989320" cy="3393948"/>
                    </a:xfrm>
                    <a:prstGeom prst="rect"/>
                  </pic:spPr>
                </pic:pic>
              </a:graphicData>
            </a:graphic>
          </wp:inline>
        </w:drawing>
      </w:r>
    </w:p>
    <w:p>
      <w:pPr>
        <w:jc w:val="center"/>
      </w:pPr>
      <w:r>
        <w:rPr>
          <w:i/>
          <w:sz w:val="18"/>
        </w:rPr>
        <w:t>Figure 1. Elbow and silhouette diagnostics for candidate K Means solutions. Source: UCI Wholesale Customers calculations.</w:t>
      </w:r>
    </w:p>
    <w:p>
      <w:r>
        <w:t>The inertia curve decreases as additional clusters are added, as expected. The three-cluster solution was chosen because it marks a practical bend in the curve while remaining easy to interpret and operationalize. The mean silhouette score for k = 3 is 0.26; this indicates moderate separation, which is common in real customer behavior where boundaries overlap. A four- or five-cluster solution may support more granular targeting, but it would also create smaller, less stable groups.</w:t>
      </w:r>
    </w:p>
    <w:p>
      <w:pPr>
        <w:pStyle w:val="Heading1"/>
      </w:pPr>
      <w:r>
        <w:t>5 Cluster results</w:t>
      </w:r>
    </w:p>
    <w:p>
      <w:pPr>
        <w:jc w:val="center"/>
      </w:pPr>
      <w:r>
        <w:drawing>
          <wp:inline xmlns:a="http://schemas.openxmlformats.org/drawingml/2006/main" xmlns:pic="http://schemas.openxmlformats.org/drawingml/2006/picture">
            <wp:extent cx="5989320" cy="3393948"/>
            <wp:docPr id="2" name="Picture 2" descr="Figure 2. Number of customers assigned to each cluster. Source: UCI Wholesale Customers calculations." title="Fig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5989320" cy="3393948"/>
                    </a:xfrm>
                    <a:prstGeom prst="rect"/>
                  </pic:spPr>
                </pic:pic>
              </a:graphicData>
            </a:graphic>
          </wp:inline>
        </w:drawing>
      </w:r>
    </w:p>
    <w:p>
      <w:pPr>
        <w:jc w:val="center"/>
      </w:pPr>
      <w:r>
        <w:rPr>
          <w:i/>
          <w:sz w:val="18"/>
        </w:rPr>
        <w:t>Figure 2. Number of customers assigned to each cluster. Source: UCI Wholesale Customers calculations.</w:t>
      </w:r>
    </w:p>
    <w:p>
      <w:r>
        <w:t>No segment is a trivial singleton. This matters because cluster-level medians and operational recommendations are more credible when they are based on a meaningful number of customers. Cluster sizes should nevertheless be monitored when new customers are scored, because the distribution may shift over time.</w:t>
      </w:r>
    </w:p>
    <w:p>
      <w:r>
        <w:br w:type="page"/>
      </w:r>
    </w:p>
    <w:p>
      <w:pPr>
        <w:pStyle w:val="Heading2"/>
      </w:pPr>
      <w:r>
        <w:t>5.1 Spending profile comparison</w:t>
      </w:r>
    </w:p>
    <w:p>
      <w:pPr>
        <w:jc w:val="center"/>
      </w:pPr>
      <w:r>
        <w:drawing>
          <wp:inline xmlns:a="http://schemas.openxmlformats.org/drawingml/2006/main" xmlns:pic="http://schemas.openxmlformats.org/drawingml/2006/picture">
            <wp:extent cx="5989320" cy="3393948"/>
            <wp:docPr id="3" name="Picture 3" descr="Figure 3. Median standardized spending profiles by cluster. Source: UCI Wholesale Customers calculations." title="Figure 3"/>
            <wp:cNvGraphicFramePr>
              <a:graphicFrameLocks noChangeAspect="1"/>
            </wp:cNvGraphicFramePr>
            <a:graphic>
              <a:graphicData uri="http://schemas.openxmlformats.org/drawingml/2006/picture">
                <pic:pic>
                  <pic:nvPicPr>
                    <pic:cNvPr id="0" name="fig3.png"/>
                    <pic:cNvPicPr/>
                  </pic:nvPicPr>
                  <pic:blipFill>
                    <a:blip r:embed="rId11"/>
                    <a:stretch>
                      <a:fillRect/>
                    </a:stretch>
                  </pic:blipFill>
                  <pic:spPr>
                    <a:xfrm>
                      <a:off x="0" y="0"/>
                      <a:ext cx="5989320" cy="3393948"/>
                    </a:xfrm>
                    <a:prstGeom prst="rect"/>
                  </pic:spPr>
                </pic:pic>
              </a:graphicData>
            </a:graphic>
          </wp:inline>
        </w:drawing>
      </w:r>
    </w:p>
    <w:p>
      <w:pPr>
        <w:jc w:val="center"/>
      </w:pPr>
      <w:r>
        <w:rPr>
          <w:i/>
          <w:sz w:val="18"/>
        </w:rPr>
        <w:t>Figure 3. Median standardized spending profiles by cluster. Source: UCI Wholesale Customers calculations.</w:t>
      </w:r>
    </w:p>
    <w:p>
      <w:r>
        <w:t>The heatmap compares median transformed spending against the full dataset scale. Retail supply intensive customers show relatively strong Milk, Grocery, and Detergents Paper purchasing. Fresh food focused customers concentrate more on Fresh and Frozen spending. Balanced mixed basket customers sit closer to the overall center across categories. These labels are descriptive summaries of the observed profile; they are not official customer types supplied by UCI.</w:t>
      </w:r>
    </w:p>
    <w:tbl>
      <w:tblPr>
        <w:tblStyle w:val="TableGrid"/>
        <w:tblW w:type="auto" w:w="0"/>
        <w:jc w:val="center"/>
        <w:tblLook w:firstColumn="1" w:firstRow="1" w:lastColumn="0" w:lastRow="0" w:noHBand="0" w:noVBand="1" w:val="04A0"/>
      </w:tblPr>
      <w:tblGrid>
        <w:gridCol w:w="1411"/>
        <w:gridCol w:w="1411"/>
        <w:gridCol w:w="1411"/>
        <w:gridCol w:w="1411"/>
        <w:gridCol w:w="1411"/>
        <w:gridCol w:w="1411"/>
        <w:gridCol w:w="1411"/>
      </w:tblGrid>
      <w:tr>
        <w:trPr>
          <w:tblHeader w:val="true"/>
        </w:trPr>
        <w:tc>
          <w:tcPr>
            <w:tcW w:type="dxa" w:w="1411"/>
            <w:shd w:fill="143A5A"/>
          </w:tcPr>
          <w:p>
            <w:pPr>
              <w:jc w:val="center"/>
            </w:pPr>
            <w:r/>
            <w:r>
              <w:rPr>
                <w:b/>
                <w:color w:val="FFFFFF"/>
                <w:sz w:val="18"/>
              </w:rPr>
              <w:t>Cluster</w:t>
            </w:r>
          </w:p>
        </w:tc>
        <w:tc>
          <w:tcPr>
            <w:tcW w:type="dxa" w:w="1411"/>
            <w:shd w:fill="143A5A"/>
          </w:tcPr>
          <w:p>
            <w:pPr>
              <w:jc w:val="center"/>
            </w:pPr>
            <w:r/>
            <w:r>
              <w:rPr>
                <w:b/>
                <w:color w:val="FFFFFF"/>
                <w:sz w:val="18"/>
              </w:rPr>
              <w:t>Fresh</w:t>
            </w:r>
          </w:p>
        </w:tc>
        <w:tc>
          <w:tcPr>
            <w:tcW w:type="dxa" w:w="1411"/>
            <w:shd w:fill="143A5A"/>
          </w:tcPr>
          <w:p>
            <w:pPr>
              <w:jc w:val="center"/>
            </w:pPr>
            <w:r/>
            <w:r>
              <w:rPr>
                <w:b/>
                <w:color w:val="FFFFFF"/>
                <w:sz w:val="18"/>
              </w:rPr>
              <w:t>Milk</w:t>
            </w:r>
          </w:p>
        </w:tc>
        <w:tc>
          <w:tcPr>
            <w:tcW w:type="dxa" w:w="1411"/>
            <w:shd w:fill="143A5A"/>
          </w:tcPr>
          <w:p>
            <w:pPr>
              <w:jc w:val="center"/>
            </w:pPr>
            <w:r/>
            <w:r>
              <w:rPr>
                <w:b/>
                <w:color w:val="FFFFFF"/>
                <w:sz w:val="18"/>
              </w:rPr>
              <w:t>Grocery</w:t>
            </w:r>
          </w:p>
        </w:tc>
        <w:tc>
          <w:tcPr>
            <w:tcW w:type="dxa" w:w="1411"/>
            <w:shd w:fill="143A5A"/>
          </w:tcPr>
          <w:p>
            <w:pPr>
              <w:jc w:val="center"/>
            </w:pPr>
            <w:r/>
            <w:r>
              <w:rPr>
                <w:b/>
                <w:color w:val="FFFFFF"/>
                <w:sz w:val="18"/>
              </w:rPr>
              <w:t>Frozen</w:t>
            </w:r>
          </w:p>
        </w:tc>
        <w:tc>
          <w:tcPr>
            <w:tcW w:type="dxa" w:w="1411"/>
            <w:shd w:fill="143A5A"/>
          </w:tcPr>
          <w:p>
            <w:pPr>
              <w:jc w:val="center"/>
            </w:pPr>
            <w:r/>
            <w:r>
              <w:rPr>
                <w:b/>
                <w:color w:val="FFFFFF"/>
                <w:sz w:val="18"/>
              </w:rPr>
              <w:t>Detergents</w:t>
            </w:r>
          </w:p>
        </w:tc>
        <w:tc>
          <w:tcPr>
            <w:tcW w:type="dxa" w:w="1411"/>
            <w:shd w:fill="143A5A"/>
          </w:tcPr>
          <w:p>
            <w:pPr>
              <w:jc w:val="center"/>
            </w:pPr>
            <w:r/>
            <w:r>
              <w:rPr>
                <w:b/>
                <w:color w:val="FFFFFF"/>
                <w:sz w:val="18"/>
              </w:rPr>
              <w:t>Delicassen</w:t>
            </w:r>
          </w:p>
        </w:tc>
      </w:tr>
      <w:tr>
        <w:tc>
          <w:tcPr>
            <w:tcW w:type="dxa" w:w="1411"/>
            <w:vAlign w:val="center"/>
          </w:tcPr>
          <w:p>
            <w:r/>
            <w:r>
              <w:rPr>
                <w:sz w:val="18"/>
              </w:rPr>
              <w:t>Retail supply intensive</w:t>
            </w:r>
          </w:p>
        </w:tc>
        <w:tc>
          <w:tcPr>
            <w:tcW w:type="dxa" w:w="1411"/>
            <w:vAlign w:val="center"/>
          </w:tcPr>
          <w:p>
            <w:r/>
            <w:r>
              <w:rPr>
                <w:sz w:val="18"/>
              </w:rPr>
              <w:t>12,126</w:t>
            </w:r>
          </w:p>
        </w:tc>
        <w:tc>
          <w:tcPr>
            <w:tcW w:type="dxa" w:w="1411"/>
            <w:vAlign w:val="center"/>
          </w:tcPr>
          <w:p>
            <w:r/>
            <w:r>
              <w:rPr>
                <w:sz w:val="18"/>
              </w:rPr>
              <w:t>7,184</w:t>
            </w:r>
          </w:p>
        </w:tc>
        <w:tc>
          <w:tcPr>
            <w:tcW w:type="dxa" w:w="1411"/>
            <w:vAlign w:val="center"/>
          </w:tcPr>
          <w:p>
            <w:r/>
            <w:r>
              <w:rPr>
                <w:sz w:val="18"/>
              </w:rPr>
              <w:t>9,965</w:t>
            </w:r>
          </w:p>
        </w:tc>
        <w:tc>
          <w:tcPr>
            <w:tcW w:type="dxa" w:w="1411"/>
            <w:vAlign w:val="center"/>
          </w:tcPr>
          <w:p>
            <w:r/>
            <w:r>
              <w:rPr>
                <w:sz w:val="18"/>
              </w:rPr>
              <w:t>2,005</w:t>
            </w:r>
          </w:p>
        </w:tc>
        <w:tc>
          <w:tcPr>
            <w:tcW w:type="dxa" w:w="1411"/>
            <w:vAlign w:val="center"/>
          </w:tcPr>
          <w:p>
            <w:r/>
            <w:r>
              <w:rPr>
                <w:sz w:val="18"/>
              </w:rPr>
              <w:t>3,378</w:t>
            </w:r>
          </w:p>
        </w:tc>
        <w:tc>
          <w:tcPr>
            <w:tcW w:type="dxa" w:w="1411"/>
            <w:vAlign w:val="center"/>
          </w:tcPr>
          <w:p>
            <w:r/>
            <w:r>
              <w:rPr>
                <w:sz w:val="18"/>
              </w:rPr>
              <w:t>2,005</w:t>
            </w:r>
          </w:p>
        </w:tc>
      </w:tr>
      <w:tr>
        <w:tc>
          <w:tcPr>
            <w:tcW w:type="dxa" w:w="1411"/>
            <w:vAlign w:val="center"/>
            <w:shd w:fill="EEF4F8"/>
          </w:tcPr>
          <w:p>
            <w:r/>
            <w:r>
              <w:rPr>
                <w:sz w:val="18"/>
              </w:rPr>
              <w:t>Fresh food focused</w:t>
            </w:r>
          </w:p>
        </w:tc>
        <w:tc>
          <w:tcPr>
            <w:tcW w:type="dxa" w:w="1411"/>
            <w:vAlign w:val="center"/>
            <w:shd w:fill="EEF4F8"/>
          </w:tcPr>
          <w:p>
            <w:r/>
            <w:r>
              <w:rPr>
                <w:sz w:val="18"/>
              </w:rPr>
              <w:t>9,635</w:t>
            </w:r>
          </w:p>
        </w:tc>
        <w:tc>
          <w:tcPr>
            <w:tcW w:type="dxa" w:w="1411"/>
            <w:vAlign w:val="center"/>
            <w:shd w:fill="EEF4F8"/>
          </w:tcPr>
          <w:p>
            <w:r/>
            <w:r>
              <w:rPr>
                <w:sz w:val="18"/>
              </w:rPr>
              <w:t>1,598</w:t>
            </w:r>
          </w:p>
        </w:tc>
        <w:tc>
          <w:tcPr>
            <w:tcW w:type="dxa" w:w="1411"/>
            <w:vAlign w:val="center"/>
            <w:shd w:fill="EEF4F8"/>
          </w:tcPr>
          <w:p>
            <w:r/>
            <w:r>
              <w:rPr>
                <w:sz w:val="18"/>
              </w:rPr>
              <w:t>2,151</w:t>
            </w:r>
          </w:p>
        </w:tc>
        <w:tc>
          <w:tcPr>
            <w:tcW w:type="dxa" w:w="1411"/>
            <w:vAlign w:val="center"/>
            <w:shd w:fill="EEF4F8"/>
          </w:tcPr>
          <w:p>
            <w:r/>
            <w:r>
              <w:rPr>
                <w:sz w:val="18"/>
              </w:rPr>
              <w:t>2,151</w:t>
            </w:r>
          </w:p>
        </w:tc>
        <w:tc>
          <w:tcPr>
            <w:tcW w:type="dxa" w:w="1411"/>
            <w:vAlign w:val="center"/>
            <w:shd w:fill="EEF4F8"/>
          </w:tcPr>
          <w:p>
            <w:r/>
            <w:r>
              <w:rPr>
                <w:sz w:val="18"/>
              </w:rPr>
              <w:t>274</w:t>
            </w:r>
          </w:p>
        </w:tc>
        <w:tc>
          <w:tcPr>
            <w:tcW w:type="dxa" w:w="1411"/>
            <w:vAlign w:val="center"/>
            <w:shd w:fill="EEF4F8"/>
          </w:tcPr>
          <w:p>
            <w:r/>
            <w:r>
              <w:rPr>
                <w:sz w:val="18"/>
              </w:rPr>
              <w:t>686</w:t>
            </w:r>
          </w:p>
        </w:tc>
      </w:tr>
      <w:tr>
        <w:tc>
          <w:tcPr>
            <w:tcW w:type="dxa" w:w="1411"/>
            <w:vAlign w:val="center"/>
          </w:tcPr>
          <w:p>
            <w:r/>
            <w:r>
              <w:rPr>
                <w:sz w:val="18"/>
              </w:rPr>
              <w:t>Balanced mixed basket</w:t>
            </w:r>
          </w:p>
        </w:tc>
        <w:tc>
          <w:tcPr>
            <w:tcW w:type="dxa" w:w="1411"/>
            <w:vAlign w:val="center"/>
          </w:tcPr>
          <w:p>
            <w:r/>
            <w:r>
              <w:rPr>
                <w:sz w:val="18"/>
              </w:rPr>
              <w:t>1,454</w:t>
            </w:r>
          </w:p>
        </w:tc>
        <w:tc>
          <w:tcPr>
            <w:tcW w:type="dxa" w:w="1411"/>
            <w:vAlign w:val="center"/>
          </w:tcPr>
          <w:p>
            <w:r/>
            <w:r>
              <w:rPr>
                <w:sz w:val="18"/>
              </w:rPr>
              <w:t>6,264</w:t>
            </w:r>
          </w:p>
        </w:tc>
        <w:tc>
          <w:tcPr>
            <w:tcW w:type="dxa" w:w="1411"/>
            <w:vAlign w:val="center"/>
          </w:tcPr>
          <w:p>
            <w:r/>
            <w:r>
              <w:rPr>
                <w:sz w:val="18"/>
              </w:rPr>
              <w:t>10,487</w:t>
            </w:r>
          </w:p>
        </w:tc>
        <w:tc>
          <w:tcPr>
            <w:tcW w:type="dxa" w:w="1411"/>
            <w:vAlign w:val="center"/>
          </w:tcPr>
          <w:p>
            <w:r/>
            <w:r>
              <w:rPr>
                <w:sz w:val="18"/>
              </w:rPr>
              <w:t>388</w:t>
            </w:r>
          </w:p>
        </w:tc>
        <w:tc>
          <w:tcPr>
            <w:tcW w:type="dxa" w:w="1411"/>
            <w:vAlign w:val="center"/>
          </w:tcPr>
          <w:p>
            <w:r/>
            <w:r>
              <w:rPr>
                <w:sz w:val="18"/>
              </w:rPr>
              <w:t>4,196</w:t>
            </w:r>
          </w:p>
        </w:tc>
        <w:tc>
          <w:tcPr>
            <w:tcW w:type="dxa" w:w="1411"/>
            <w:vAlign w:val="center"/>
          </w:tcPr>
          <w:p>
            <w:r/>
            <w:r>
              <w:rPr>
                <w:sz w:val="18"/>
              </w:rPr>
              <w:t>436</w:t>
            </w:r>
          </w:p>
        </w:tc>
      </w:tr>
    </w:tbl>
    <w:p/>
    <w:p>
      <w:pPr>
        <w:pStyle w:val="Heading2"/>
      </w:pPr>
      <w:r>
        <w:t>5.2 Cluster visualization</w:t>
      </w:r>
    </w:p>
    <w:p>
      <w:pPr>
        <w:jc w:val="center"/>
      </w:pPr>
      <w:r>
        <w:drawing>
          <wp:inline xmlns:a="http://schemas.openxmlformats.org/drawingml/2006/main" xmlns:pic="http://schemas.openxmlformats.org/drawingml/2006/picture">
            <wp:extent cx="5989320" cy="3393948"/>
            <wp:docPr id="4" name="Picture 4" descr="Figure 4. PCA projection of K Means assignments. Source: UCI Wholesale Customers calculations." title="Figure 4"/>
            <wp:cNvGraphicFramePr>
              <a:graphicFrameLocks noChangeAspect="1"/>
            </wp:cNvGraphicFramePr>
            <a:graphic>
              <a:graphicData uri="http://schemas.openxmlformats.org/drawingml/2006/picture">
                <pic:pic>
                  <pic:nvPicPr>
                    <pic:cNvPr id="0" name="fig4.png"/>
                    <pic:cNvPicPr/>
                  </pic:nvPicPr>
                  <pic:blipFill>
                    <a:blip r:embed="rId12"/>
                    <a:stretch>
                      <a:fillRect/>
                    </a:stretch>
                  </pic:blipFill>
                  <pic:spPr>
                    <a:xfrm>
                      <a:off x="0" y="0"/>
                      <a:ext cx="5989320" cy="3393948"/>
                    </a:xfrm>
                    <a:prstGeom prst="rect"/>
                  </pic:spPr>
                </pic:pic>
              </a:graphicData>
            </a:graphic>
          </wp:inline>
        </w:drawing>
      </w:r>
    </w:p>
    <w:p>
      <w:pPr>
        <w:jc w:val="center"/>
      </w:pPr>
      <w:r>
        <w:rPr>
          <w:i/>
          <w:sz w:val="18"/>
        </w:rPr>
        <w:t>Figure 4. PCA projection of K Means assignments. Source: UCI Wholesale Customers calculations.</w:t>
      </w:r>
    </w:p>
    <w:p>
      <w:r>
        <w:t>Principal component analysis projects the six-dimensional standardized feature space into two dimensions for visualization. The visible overlap is important: clusters are useful summaries of proximity, not perfectly isolated natural classes. Because the K Means model uses all six dimensions, the PCA plot should not be interpreted as the full clustering decision boundary.</w:t>
      </w:r>
    </w:p>
    <w:p>
      <w:pPr>
        <w:pStyle w:val="Heading1"/>
      </w:pPr>
      <w:r>
        <w:t>6 Segment interpretation and implications</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3293"/>
            <w:shd w:fill="143A5A"/>
          </w:tcPr>
          <w:p>
            <w:pPr>
              <w:jc w:val="center"/>
            </w:pPr>
            <w:r/>
            <w:r>
              <w:rPr>
                <w:b/>
                <w:color w:val="FFFFFF"/>
                <w:sz w:val="18"/>
              </w:rPr>
              <w:t>Segment</w:t>
            </w:r>
          </w:p>
        </w:tc>
        <w:tc>
          <w:tcPr>
            <w:tcW w:type="dxa" w:w="3293"/>
            <w:shd w:fill="143A5A"/>
          </w:tcPr>
          <w:p>
            <w:pPr>
              <w:jc w:val="center"/>
            </w:pPr>
            <w:r/>
            <w:r>
              <w:rPr>
                <w:b/>
                <w:color w:val="FFFFFF"/>
                <w:sz w:val="18"/>
              </w:rPr>
              <w:t>Characteristic</w:t>
            </w:r>
          </w:p>
        </w:tc>
        <w:tc>
          <w:tcPr>
            <w:tcW w:type="dxa" w:w="3293"/>
            <w:shd w:fill="143A5A"/>
          </w:tcPr>
          <w:p>
            <w:pPr>
              <w:jc w:val="center"/>
            </w:pPr>
            <w:r/>
            <w:r>
              <w:rPr>
                <w:b/>
                <w:color w:val="FFFFFF"/>
                <w:sz w:val="18"/>
              </w:rPr>
              <w:t>Potential action</w:t>
            </w:r>
          </w:p>
        </w:tc>
      </w:tr>
      <w:tr>
        <w:tc>
          <w:tcPr>
            <w:tcW w:type="dxa" w:w="3293"/>
            <w:vAlign w:val="center"/>
          </w:tcPr>
          <w:p>
            <w:r/>
            <w:r>
              <w:rPr>
                <w:sz w:val="18"/>
              </w:rPr>
              <w:t>Retail supply intensive</w:t>
            </w:r>
          </w:p>
        </w:tc>
        <w:tc>
          <w:tcPr>
            <w:tcW w:type="dxa" w:w="3293"/>
            <w:vAlign w:val="center"/>
          </w:tcPr>
          <w:p>
            <w:r/>
            <w:r>
              <w:rPr>
                <w:sz w:val="18"/>
              </w:rPr>
              <w:t>High relative Milk, Grocery, and Detergents Paper demand</w:t>
            </w:r>
          </w:p>
        </w:tc>
        <w:tc>
          <w:tcPr>
            <w:tcW w:type="dxa" w:w="3293"/>
            <w:vAlign w:val="center"/>
          </w:tcPr>
          <w:p>
            <w:r/>
            <w:r>
              <w:rPr>
                <w:sz w:val="18"/>
              </w:rPr>
              <w:t>Prioritize replenishment reliability, bulk-pack offers, and inventory alerts.</w:t>
            </w:r>
          </w:p>
        </w:tc>
      </w:tr>
      <w:tr>
        <w:tc>
          <w:tcPr>
            <w:tcW w:type="dxa" w:w="3293"/>
            <w:vAlign w:val="center"/>
            <w:shd w:fill="EEF4F8"/>
          </w:tcPr>
          <w:p>
            <w:r/>
            <w:r>
              <w:rPr>
                <w:sz w:val="18"/>
              </w:rPr>
              <w:t>Fresh food focused</w:t>
            </w:r>
          </w:p>
        </w:tc>
        <w:tc>
          <w:tcPr>
            <w:tcW w:type="dxa" w:w="3293"/>
            <w:vAlign w:val="center"/>
            <w:shd w:fill="EEF4F8"/>
          </w:tcPr>
          <w:p>
            <w:r/>
            <w:r>
              <w:rPr>
                <w:sz w:val="18"/>
              </w:rPr>
              <w:t>Higher relative Fresh and Frozen demand</w:t>
            </w:r>
          </w:p>
        </w:tc>
        <w:tc>
          <w:tcPr>
            <w:tcW w:type="dxa" w:w="3293"/>
            <w:vAlign w:val="center"/>
            <w:shd w:fill="EEF4F8"/>
          </w:tcPr>
          <w:p>
            <w:r/>
            <w:r>
              <w:rPr>
                <w:sz w:val="18"/>
              </w:rPr>
              <w:t>Promote cold-chain service, freshness communication, and seasonal produce bundles.</w:t>
            </w:r>
          </w:p>
        </w:tc>
      </w:tr>
      <w:tr>
        <w:tc>
          <w:tcPr>
            <w:tcW w:type="dxa" w:w="3293"/>
            <w:vAlign w:val="center"/>
          </w:tcPr>
          <w:p>
            <w:r/>
            <w:r>
              <w:rPr>
                <w:sz w:val="18"/>
              </w:rPr>
              <w:t>Balanced mixed basket</w:t>
            </w:r>
          </w:p>
        </w:tc>
        <w:tc>
          <w:tcPr>
            <w:tcW w:type="dxa" w:w="3293"/>
            <w:vAlign w:val="center"/>
          </w:tcPr>
          <w:p>
            <w:r/>
            <w:r>
              <w:rPr>
                <w:sz w:val="18"/>
              </w:rPr>
              <w:t>Spending closer to the middle across categories</w:t>
            </w:r>
          </w:p>
        </w:tc>
        <w:tc>
          <w:tcPr>
            <w:tcW w:type="dxa" w:w="3293"/>
            <w:vAlign w:val="center"/>
          </w:tcPr>
          <w:p>
            <w:r/>
            <w:r>
              <w:rPr>
                <w:sz w:val="18"/>
              </w:rPr>
              <w:t>Use cross-selling tests and personalized recommendations to uncover category expansion opportunities.</w:t>
            </w:r>
          </w:p>
        </w:tc>
      </w:tr>
    </w:tbl>
    <w:p/>
    <w:p>
      <w:r>
        <w:t>These implications are hypotheses for business experimentation, not guaranteed outcomes. A responsible next step is to test promotions or service changes on a subset of each segment and compare response, retention, and margin against a holdout group. Operational decisions should also incorporate customer profitability, delivery cost, and account history, none of which appear in this dataset.</w:t>
      </w:r>
    </w:p>
    <w:p>
      <w:pPr>
        <w:pStyle w:val="Heading1"/>
      </w:pPr>
      <w:r>
        <w:t>7 Limitations and alternative methods</w:t>
      </w:r>
    </w:p>
    <w:p>
      <w:r>
        <w:t>K Means is sensitive to scaling, initialization, and the number of clusters; this report addresses the first two using transformation, standardization, k means plus plus, repeated initializations, and a fixed random seed. It still favors centroid-shaped groups and can be influenced by unusual observations. Hierarchical clustering, Gaussian mixtures, or density-based methods could be evaluated as sensitivity checks. The source data provides annual spend but lacks time, margin, transaction frequency, and customer lifetime value, so the segmentation should not be mistaken for a complete commercial strategy.</w:t>
      </w:r>
    </w:p>
    <w:p>
      <w:pPr>
        <w:pStyle w:val="Heading1"/>
      </w:pPr>
      <w:r>
        <w:t>Conclusion</w:t>
      </w:r>
    </w:p>
    <w:p>
      <w:r>
        <w:t>This analysis demonstrates an end-to-end unsupervised learning workflow: identify suitable behavioral variables, preprocess them for distance-based learning, compare candidate cluster counts, assign customers with K Means, visualize the result, and translate profiles into plausible actions. Three clusters provide a clear, defensible starting point. Their value lies in supporting targeted questions and experiments, not in replacing domain expertise or ongoing validation.</w:t>
      </w:r>
    </w:p>
    <w:p>
      <w:r>
        <w:br w:type="page"/>
      </w:r>
    </w:p>
    <w:p>
      <w:pPr>
        <w:pStyle w:val="Title"/>
      </w:pPr>
      <w:r>
        <w:t>8 Reproducibility and code appendix</w:t>
      </w:r>
    </w:p>
    <w:p>
      <w:r>
        <w:t>The following complete starter code uses Scikit learn as required. It can be run after installing pandas, numpy, scikit-learn, matplotlib, and seaborn. The code loads the public UCI CSV, applies the documented preprocessing, evaluates k values, fits the selected model, and visualizes a PCA projection.</w:t>
      </w:r>
    </w:p>
    <w:p>
      <w:pPr>
        <w:ind w:left="259" w:right="259"/>
        <w:shd w:fill="F2F5F7"/>
      </w:pPr>
      <w:r>
        <w:rPr>
          <w:rFonts w:ascii="Consolas" w:hAnsi="Consolas"/>
          <w:color w:val="1C3750"/>
          <w:sz w:val="16"/>
        </w:rPr>
        <w:t>import numpy as np</w:t>
        <w:br/>
        <w:t>import pandas as pd</w:t>
        <w:br/>
        <w:t>import matplotlib.pyplot as plt</w:t>
        <w:br/>
        <w:t>import seaborn as sns</w:t>
        <w:br/>
        <w:t>from sklearn.preprocessing import StandardScaler</w:t>
        <w:br/>
        <w:t>from sklearn.cluster import KMeans</w:t>
        <w:br/>
        <w:t>from sklearn.metrics import silhouette_score</w:t>
        <w:br/>
        <w:t>from sklearn.decomposition import PCA</w:t>
        <w:br/>
        <w:br/>
        <w:t>url = 'https://archive.ics.uci.edu/ml/machine-learning-databases/00292/Wholesale%20customers%20data.csv'</w:t>
        <w:br/>
        <w:t>df = pd.read_csv(url)</w:t>
        <w:br/>
        <w:t>features = ['Fresh','Milk','Grocery','Frozen','Detergents_Paper','Delicassen']</w:t>
        <w:br/>
        <w:t>X = StandardScaler().fit_transform(np.log1p(df[features]))</w:t>
        <w:br/>
        <w:br/>
        <w:t>results = []</w:t>
        <w:br/>
        <w:t>for k in range(2, 7):</w:t>
        <w:br/>
        <w:t xml:space="preserve">    km = KMeans(n_clusters=k, init='k-means++', n_init=30, random_state=42)</w:t>
        <w:br/>
        <w:t xml:space="preserve">    labels = km.fit_predict(X)</w:t>
        <w:br/>
        <w:t xml:space="preserve">    results.append([k, km.inertia_, silhouette_score(X, labels)])</w:t>
        <w:br/>
        <w:t>print(pd.DataFrame(results, columns=['k','inertia','silhouette']))</w:t>
        <w:br/>
        <w:br/>
        <w:t>km = KMeans(n_clusters=3, init='k-means++', n_init=30, random_state=42)</w:t>
        <w:br/>
        <w:t>df['Cluster'] = km.fit_predict(X)</w:t>
        <w:br/>
        <w:t>profile = df.groupby('Cluster')[features].median()</w:t>
        <w:br/>
        <w:t>print(profile)</w:t>
        <w:br/>
        <w:br/>
        <w:t>pca = PCA(n_components=2, random_state=42)</w:t>
        <w:br/>
        <w:t>plot_df = pd.DataFrame(pca.fit_transform(X), columns=['PC1','PC2'])</w:t>
        <w:br/>
        <w:t>plot_df['Cluster'] = df['Cluster'].astype(str)</w:t>
        <w:br/>
        <w:t>sns.scatterplot(data=plot_df, x='PC1', y='PC2', hue='Cluster', palette='Set2')</w:t>
        <w:br/>
        <w:t>plt.title('Wholesale customer clusters in PCA space')</w:t>
        <w:br/>
        <w:t>plt.tight_layout(); plt.show()</w:t>
      </w:r>
    </w:p>
    <w:p>
      <w:pPr>
        <w:pStyle w:val="Heading1"/>
      </w:pPr>
      <w:r>
        <w:t>Requirement coverage</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shd w:fill="143A5A"/>
          </w:tcPr>
          <w:p>
            <w:pPr>
              <w:jc w:val="center"/>
            </w:pPr>
            <w:r/>
            <w:r>
              <w:rPr>
                <w:b/>
                <w:color w:val="FFFFFF"/>
                <w:sz w:val="18"/>
              </w:rPr>
              <w:t>Assignment requirement</w:t>
            </w:r>
          </w:p>
        </w:tc>
        <w:tc>
          <w:tcPr>
            <w:tcW w:type="dxa" w:w="4939"/>
            <w:shd w:fill="143A5A"/>
          </w:tcPr>
          <w:p>
            <w:pPr>
              <w:jc w:val="center"/>
            </w:pPr>
            <w:r/>
            <w:r>
              <w:rPr>
                <w:b/>
                <w:color w:val="FFFFFF"/>
                <w:sz w:val="18"/>
              </w:rPr>
              <w:t>Report section</w:t>
            </w:r>
          </w:p>
        </w:tc>
      </w:tr>
      <w:tr>
        <w:tc>
          <w:tcPr>
            <w:tcW w:type="dxa" w:w="4939"/>
            <w:vAlign w:val="center"/>
          </w:tcPr>
          <w:p>
            <w:r/>
            <w:r>
              <w:rPr>
                <w:sz w:val="18"/>
              </w:rPr>
              <w:t>Public dataset</w:t>
            </w:r>
          </w:p>
        </w:tc>
        <w:tc>
          <w:tcPr>
            <w:tcW w:type="dxa" w:w="4939"/>
            <w:vAlign w:val="center"/>
          </w:tcPr>
          <w:p>
            <w:r/>
            <w:r>
              <w:rPr>
                <w:sz w:val="18"/>
              </w:rPr>
              <w:t>Section 1</w:t>
            </w:r>
          </w:p>
        </w:tc>
      </w:tr>
      <w:tr>
        <w:tc>
          <w:tcPr>
            <w:tcW w:type="dxa" w:w="4939"/>
            <w:vAlign w:val="center"/>
            <w:shd w:fill="EEF4F8"/>
          </w:tcPr>
          <w:p>
            <w:r/>
            <w:r>
              <w:rPr>
                <w:sz w:val="18"/>
              </w:rPr>
              <w:t>Preprocessing</w:t>
            </w:r>
          </w:p>
        </w:tc>
        <w:tc>
          <w:tcPr>
            <w:tcW w:type="dxa" w:w="4939"/>
            <w:vAlign w:val="center"/>
            <w:shd w:fill="EEF4F8"/>
          </w:tcPr>
          <w:p>
            <w:r/>
            <w:r>
              <w:rPr>
                <w:sz w:val="18"/>
              </w:rPr>
              <w:t>Section 3</w:t>
            </w:r>
          </w:p>
        </w:tc>
      </w:tr>
      <w:tr>
        <w:tc>
          <w:tcPr>
            <w:tcW w:type="dxa" w:w="4939"/>
            <w:vAlign w:val="center"/>
          </w:tcPr>
          <w:p>
            <w:r/>
            <w:r>
              <w:rPr>
                <w:sz w:val="18"/>
              </w:rPr>
              <w:t>Clustering algorithm and parameter choice</w:t>
            </w:r>
          </w:p>
        </w:tc>
        <w:tc>
          <w:tcPr>
            <w:tcW w:type="dxa" w:w="4939"/>
            <w:vAlign w:val="center"/>
          </w:tcPr>
          <w:p>
            <w:r/>
            <w:r>
              <w:rPr>
                <w:sz w:val="18"/>
              </w:rPr>
              <w:t>Sections 2 and 4</w:t>
            </w:r>
          </w:p>
        </w:tc>
      </w:tr>
      <w:tr>
        <w:tc>
          <w:tcPr>
            <w:tcW w:type="dxa" w:w="4939"/>
            <w:vAlign w:val="center"/>
            <w:shd w:fill="EEF4F8"/>
          </w:tcPr>
          <w:p>
            <w:r/>
            <w:r>
              <w:rPr>
                <w:sz w:val="18"/>
              </w:rPr>
              <w:t>Figures and visualization</w:t>
            </w:r>
          </w:p>
        </w:tc>
        <w:tc>
          <w:tcPr>
            <w:tcW w:type="dxa" w:w="4939"/>
            <w:vAlign w:val="center"/>
            <w:shd w:fill="EEF4F8"/>
          </w:tcPr>
          <w:p>
            <w:r/>
            <w:r>
              <w:rPr>
                <w:sz w:val="18"/>
              </w:rPr>
              <w:t>Figures 1 through 4</w:t>
            </w:r>
          </w:p>
        </w:tc>
      </w:tr>
      <w:tr>
        <w:tc>
          <w:tcPr>
            <w:tcW w:type="dxa" w:w="4939"/>
            <w:vAlign w:val="center"/>
          </w:tcPr>
          <w:p>
            <w:r/>
            <w:r>
              <w:rPr>
                <w:sz w:val="18"/>
              </w:rPr>
              <w:t>Cluster characteristics</w:t>
            </w:r>
          </w:p>
        </w:tc>
        <w:tc>
          <w:tcPr>
            <w:tcW w:type="dxa" w:w="4939"/>
            <w:vAlign w:val="center"/>
          </w:tcPr>
          <w:p>
            <w:r/>
            <w:r>
              <w:rPr>
                <w:sz w:val="18"/>
              </w:rPr>
              <w:t>Section 5</w:t>
            </w:r>
          </w:p>
        </w:tc>
      </w:tr>
      <w:tr>
        <w:tc>
          <w:tcPr>
            <w:tcW w:type="dxa" w:w="4939"/>
            <w:vAlign w:val="center"/>
            <w:shd w:fill="EEF4F8"/>
          </w:tcPr>
          <w:p>
            <w:r/>
            <w:r>
              <w:rPr>
                <w:sz w:val="18"/>
              </w:rPr>
              <w:t>Business implications</w:t>
            </w:r>
          </w:p>
        </w:tc>
        <w:tc>
          <w:tcPr>
            <w:tcW w:type="dxa" w:w="4939"/>
            <w:vAlign w:val="center"/>
            <w:shd w:fill="EEF4F8"/>
          </w:tcPr>
          <w:p>
            <w:r/>
            <w:r>
              <w:rPr>
                <w:sz w:val="18"/>
              </w:rPr>
              <w:t>Section 6</w:t>
            </w:r>
          </w:p>
        </w:tc>
      </w:tr>
      <w:tr>
        <w:tc>
          <w:tcPr>
            <w:tcW w:type="dxa" w:w="4939"/>
            <w:vAlign w:val="center"/>
          </w:tcPr>
          <w:p>
            <w:r/>
            <w:r>
              <w:rPr>
                <w:sz w:val="18"/>
              </w:rPr>
              <w:t>Code snippets and reproducibility</w:t>
            </w:r>
          </w:p>
        </w:tc>
        <w:tc>
          <w:tcPr>
            <w:tcW w:type="dxa" w:w="4939"/>
            <w:vAlign w:val="center"/>
          </w:tcPr>
          <w:p>
            <w:r/>
            <w:r>
              <w:rPr>
                <w:sz w:val="18"/>
              </w:rPr>
              <w:t>Sections 2 and 8</w:t>
            </w:r>
          </w:p>
        </w:tc>
      </w:tr>
      <w:tr>
        <w:tc>
          <w:tcPr>
            <w:tcW w:type="dxa" w:w="4939"/>
            <w:vAlign w:val="center"/>
            <w:shd w:fill="EEF4F8"/>
          </w:tcPr>
          <w:p>
            <w:r/>
            <w:r>
              <w:rPr>
                <w:sz w:val="18"/>
              </w:rPr>
              <w:t>Critical limitations</w:t>
            </w:r>
          </w:p>
        </w:tc>
        <w:tc>
          <w:tcPr>
            <w:tcW w:type="dxa" w:w="4939"/>
            <w:vAlign w:val="center"/>
            <w:shd w:fill="EEF4F8"/>
          </w:tcPr>
          <w:p>
            <w:r/>
            <w:r>
              <w:rPr>
                <w:sz w:val="18"/>
              </w:rPr>
              <w:t>Section 7</w:t>
            </w:r>
          </w:p>
        </w:tc>
      </w:tr>
    </w:tbl>
    <w:p/>
    <w:sectPr w:rsidR="00FC693F" w:rsidRPr="0006063C" w:rsidSect="00034616">
      <w:footerReference w:type="default" r:id="rId13"/>
      <w:pgSz w:w="12240" w:h="15840"/>
      <w:pgMar w:top="1123"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975"/>
        <w:sz w:val="16"/>
      </w:rPr>
      <w:t>Wholesale Customer Clustering Analysis | Week 3 Internship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Aptos" w:hAnsi="Aptos"/>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60" w:after="140"/>
      <w:outlineLvl w:val="2"/>
    </w:pPr>
    <w:rPr>
      <w:rFonts w:asciiTheme="majorHAnsi" w:eastAsiaTheme="majorEastAsia" w:hAnsiTheme="majorHAnsi" w:cstheme="majorBidi" w:ascii="Aptos" w:hAnsi="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260"/>
      <w:contextualSpacing/>
    </w:pPr>
    <w:rPr>
      <w:rFonts w:asciiTheme="majorHAnsi" w:eastAsiaTheme="majorEastAsia" w:hAnsiTheme="majorHAnsi" w:cstheme="majorBidi" w:ascii="Aptos" w:hAnsi="Aptos"/>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Segmentation Using K Means Clustering</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