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sz w:val="36"/>
        </w:rPr>
        <w:t>Real-Time Speech Dereverberation and Denoising</w:t>
      </w:r>
    </w:p>
    <w:p>
      <w:pPr>
        <w:spacing w:after="40"/>
        <w:jc w:val="center"/>
      </w:pPr>
      <w:r>
        <w:rPr>
          <w:rFonts w:ascii="Arial" w:hAnsi="Arial"/>
          <w:sz w:val="24"/>
        </w:rPr>
        <w:t>Review 1 Project Report</w:t>
      </w:r>
    </w:p>
    <w:p>
      <w:pPr>
        <w:spacing w:after="240"/>
        <w:jc w:val="center"/>
      </w:pPr>
      <w:r>
        <w:rPr>
          <w:rFonts w:ascii="Arial" w:hAnsi="Arial"/>
          <w:i/>
          <w:sz w:val="21"/>
        </w:rPr>
        <w:t>Focus: fast processing and low CPU/memory use</w:t>
      </w:r>
    </w:p>
    <w:p>
      <w:r>
        <w:t>This report presents the problem, five-paper literature survey, dataset plan, system workflow, current implementation milestone, and initial demonstration for the project. The selected base-paper direction is the efficient real-time speech enhancement and dereverberation framework by Rosenbaum et al. (2025).</w:t>
      </w:r>
    </w:p>
    <w:p>
      <w:pPr>
        <w:pStyle w:val="Heading1"/>
      </w:pPr>
      <w:r>
        <w:t>1. Problem Identification</w:t>
      </w:r>
    </w:p>
    <w:p>
      <w:r>
        <w:t>Speech captured by a distant or low-cost microphone is affected by additive background noise and reflections from walls, floors, and other surfaces. Noise masks speech components, while reverberation creates delayed copies that overlap later phonemes. Together they reduce intelligibility, perceived quality, and the reliability of automatic speech recognition.</w:t>
      </w:r>
    </w:p>
    <w:p>
      <w:r>
        <w:t>The project objective is to build a streaming speech front end that improves the audio while it is arriving. The system must balance speech quality with bounded latency, low CPU usage, low memory usage, and speech preservation. The output should be usable by an ASR, recording, voice-typing, meeting, or conversational application.</w:t>
      </w:r>
    </w:p>
    <w:p>
      <w:r>
        <w:t>The project objectives are:</w:t>
      </w:r>
    </w:p>
    <w:p>
      <w:pPr>
        <w:pStyle w:val="ListBullet"/>
      </w:pPr>
      <w:r>
        <w:t>reduce stationary and changing background noise;</w:t>
      </w:r>
    </w:p>
    <w:p>
      <w:pPr>
        <w:pStyle w:val="ListBullet"/>
      </w:pPr>
      <w:r>
        <w:t>reduce late reverberation without suppressing the direct speech signal;</w:t>
      </w:r>
    </w:p>
    <w:p>
      <w:pPr>
        <w:pStyle w:val="ListBullet"/>
      </w:pPr>
      <w:r>
        <w:t>preserve intelligibility and speaker characteristics;</w:t>
      </w:r>
    </w:p>
    <w:p>
      <w:pPr>
        <w:pStyle w:val="ListBullet"/>
      </w:pPr>
      <w:r>
        <w:t>process audio causally or with a clearly recorded bounded look-ahead;</w:t>
      </w:r>
    </w:p>
    <w:p>
      <w:pPr>
        <w:pStyle w:val="ListBullet"/>
      </w:pPr>
      <w:r>
        <w:t>measure quality, latency, real-time factor, CPU, memory, and model size; and</w:t>
      </w:r>
    </w:p>
    <w:p>
      <w:pPr>
        <w:pStyle w:val="ListBullet"/>
      </w:pPr>
      <w:r>
        <w:t>provide a replaceable enhancement engine for downstream speech applications.</w:t>
      </w:r>
    </w:p>
    <w:p>
      <w:pPr>
        <w:pStyle w:val="Heading1"/>
      </w:pPr>
      <w:r>
        <w:t>2. Literature Survey: Five Papers</w:t>
      </w:r>
    </w:p>
    <w:p>
      <w:r>
        <w:t>The papers were selected because they cover the main design choices relevant to a fast speech enhancement system: very small real-time models, classical dereverberation combined with learning, complex-domain phase modeling, efficient deep filtering, and explicit low-compute dereverberation.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951"/>
            <w:vAlign w:val="center"/>
            <w:tcMar>
              <w:top w:w="80" w:type="dxa"/>
              <w:start w:w="90" w:type="dxa"/>
              <w:bottom w:w="80" w:type="dxa"/>
              <w:end w:w="90" w:type="dxa"/>
            </w:tcMar>
          </w:tcPr>
          <w:p>
            <w:pPr>
              <w:spacing w:after="0" w:line="240" w:lineRule="auto"/>
            </w:pPr>
            <w:r/>
            <w:r>
              <w:rPr>
                <w:rFonts w:ascii="Arial" w:hAnsi="Arial"/>
                <w:b/>
                <w:sz w:val="18"/>
              </w:rPr>
              <w:t>Paper</w:t>
            </w:r>
          </w:p>
        </w:tc>
        <w:tc>
          <w:tcPr>
            <w:tcW w:type="dxa" w:w="3024"/>
            <w:vAlign w:val="center"/>
            <w:tcMar>
              <w:top w:w="80" w:type="dxa"/>
              <w:start w:w="90" w:type="dxa"/>
              <w:bottom w:w="80" w:type="dxa"/>
              <w:end w:w="90" w:type="dxa"/>
            </w:tcMar>
          </w:tcPr>
          <w:p>
            <w:pPr>
              <w:spacing w:after="0" w:line="240" w:lineRule="auto"/>
            </w:pPr>
            <w:r/>
            <w:r>
              <w:rPr>
                <w:rFonts w:ascii="Arial" w:hAnsi="Arial"/>
                <w:b/>
                <w:sz w:val="18"/>
              </w:rPr>
              <w:t>Main idea</w:t>
            </w:r>
          </w:p>
        </w:tc>
        <w:tc>
          <w:tcPr>
            <w:tcW w:type="dxa" w:w="4320"/>
            <w:vAlign w:val="center"/>
            <w:tcMar>
              <w:top w:w="80" w:type="dxa"/>
              <w:start w:w="90" w:type="dxa"/>
              <w:bottom w:w="80" w:type="dxa"/>
              <w:end w:w="90" w:type="dxa"/>
            </w:tcMar>
          </w:tcPr>
          <w:p>
            <w:pPr>
              <w:spacing w:after="0" w:line="240" w:lineRule="auto"/>
            </w:pPr>
            <w:r/>
            <w:r>
              <w:rPr>
                <w:rFonts w:ascii="Arial" w:hAnsi="Arial"/>
                <w:b/>
                <w:sz w:val="18"/>
              </w:rPr>
              <w:t>Dataset and relevance</w:t>
            </w:r>
          </w:p>
        </w:tc>
      </w:tr>
      <w:tr>
        <w:tc>
          <w:tcPr>
            <w:tcW w:type="dxa" w:w="2951"/>
            <w:vAlign w:val="center"/>
            <w:tcMar>
              <w:top w:w="80" w:type="dxa"/>
              <w:start w:w="90" w:type="dxa"/>
              <w:bottom w:w="80" w:type="dxa"/>
              <w:end w:w="90" w:type="dxa"/>
            </w:tcMar>
          </w:tcPr>
          <w:p>
            <w:pPr>
              <w:spacing w:after="0" w:line="240" w:lineRule="auto"/>
            </w:pPr>
            <w:r/>
            <w:r>
              <w:rPr>
                <w:rFonts w:ascii="Arial" w:hAnsi="Arial"/>
                <w:b w:val="0"/>
                <w:sz w:val="17"/>
              </w:rPr>
              <w:t>Valin (2018)</w:t>
              <w:br/>
              <w:t>A Hybrid DSP/Deep Learning Approach for Real-Time Full-Band Speech Enhancement</w:t>
            </w:r>
          </w:p>
        </w:tc>
        <w:tc>
          <w:tcPr>
            <w:tcW w:type="dxa" w:w="3024"/>
            <w:vAlign w:val="center"/>
            <w:tcMar>
              <w:top w:w="80" w:type="dxa"/>
              <w:start w:w="90" w:type="dxa"/>
              <w:bottom w:w="80" w:type="dxa"/>
              <w:end w:w="90" w:type="dxa"/>
            </w:tcMar>
          </w:tcPr>
          <w:p>
            <w:pPr>
              <w:spacing w:after="0" w:line="240" w:lineRule="auto"/>
            </w:pPr>
            <w:r/>
            <w:r>
              <w:rPr>
                <w:rFonts w:ascii="Arial" w:hAnsi="Arial"/>
                <w:b w:val="0"/>
                <w:sz w:val="17"/>
              </w:rPr>
              <w:t>Small recurrent model predicts critical-band gains; pitch filtering and DSP structure keep computation low.</w:t>
            </w:r>
          </w:p>
        </w:tc>
        <w:tc>
          <w:tcPr>
            <w:tcW w:type="dxa" w:w="4320"/>
            <w:vAlign w:val="center"/>
            <w:tcMar>
              <w:top w:w="80" w:type="dxa"/>
              <w:start w:w="90" w:type="dxa"/>
              <w:bottom w:w="80" w:type="dxa"/>
              <w:end w:w="90" w:type="dxa"/>
            </w:tcMar>
          </w:tcPr>
          <w:p>
            <w:pPr>
              <w:spacing w:after="0" w:line="240" w:lineRule="auto"/>
            </w:pPr>
            <w:r/>
            <w:r>
              <w:rPr>
                <w:rFonts w:ascii="Arial" w:hAnsi="Arial"/>
                <w:b w:val="0"/>
                <w:sz w:val="17"/>
              </w:rPr>
              <w:t>Artificial noisy mixtures made from clean speech sources. Useful low-compute reference; room reverberation is not the main target.</w:t>
            </w:r>
          </w:p>
        </w:tc>
      </w:tr>
      <w:tr>
        <w:tc>
          <w:tcPr>
            <w:tcW w:type="dxa" w:w="2951"/>
            <w:vAlign w:val="center"/>
            <w:tcMar>
              <w:top w:w="80" w:type="dxa"/>
              <w:start w:w="90" w:type="dxa"/>
              <w:bottom w:w="80" w:type="dxa"/>
              <w:end w:w="90" w:type="dxa"/>
            </w:tcMar>
          </w:tcPr>
          <w:p>
            <w:pPr>
              <w:spacing w:after="0" w:line="240" w:lineRule="auto"/>
            </w:pPr>
            <w:r/>
            <w:r>
              <w:rPr>
                <w:rFonts w:ascii="Arial" w:hAnsi="Arial"/>
                <w:b w:val="0"/>
                <w:sz w:val="17"/>
              </w:rPr>
              <w:t>Li et al. (2017)</w:t>
              <w:br/>
              <w:t>Integrated Speech Enhancement Using WPE and DNN</w:t>
            </w:r>
          </w:p>
        </w:tc>
        <w:tc>
          <w:tcPr>
            <w:tcW w:type="dxa" w:w="3024"/>
            <w:vAlign w:val="center"/>
            <w:tcMar>
              <w:top w:w="80" w:type="dxa"/>
              <w:start w:w="90" w:type="dxa"/>
              <w:bottom w:w="80" w:type="dxa"/>
              <w:end w:w="90" w:type="dxa"/>
            </w:tcMar>
          </w:tcPr>
          <w:p>
            <w:pPr>
              <w:spacing w:after="0" w:line="240" w:lineRule="auto"/>
            </w:pPr>
            <w:r/>
            <w:r>
              <w:rPr>
                <w:rFonts w:ascii="Arial" w:hAnsi="Arial"/>
                <w:b w:val="0"/>
                <w:sz w:val="17"/>
              </w:rPr>
              <w:t>Combines WPE dereverberation with DNN noise suppression and speech-variance estimation.</w:t>
            </w:r>
          </w:p>
        </w:tc>
        <w:tc>
          <w:tcPr>
            <w:tcW w:type="dxa" w:w="4320"/>
            <w:vAlign w:val="center"/>
            <w:tcMar>
              <w:top w:w="80" w:type="dxa"/>
              <w:start w:w="90" w:type="dxa"/>
              <w:bottom w:w="80" w:type="dxa"/>
              <w:end w:w="90" w:type="dxa"/>
            </w:tcMar>
          </w:tcPr>
          <w:p>
            <w:pPr>
              <w:spacing w:after="0" w:line="240" w:lineRule="auto"/>
            </w:pPr>
            <w:r/>
            <w:r>
              <w:rPr>
                <w:rFonts w:ascii="Arial" w:hAnsi="Arial"/>
                <w:b w:val="0"/>
                <w:sz w:val="17"/>
              </w:rPr>
              <w:t>REVERB Challenge data: WSJCAM0 speech, measured room responses, and noise. Directly relevant to dereverberation, but more coupled to iterative processing.</w:t>
            </w:r>
          </w:p>
        </w:tc>
      </w:tr>
      <w:tr>
        <w:tc>
          <w:tcPr>
            <w:tcW w:type="dxa" w:w="2951"/>
            <w:vAlign w:val="center"/>
            <w:tcMar>
              <w:top w:w="80" w:type="dxa"/>
              <w:start w:w="90" w:type="dxa"/>
              <w:bottom w:w="80" w:type="dxa"/>
              <w:end w:w="90" w:type="dxa"/>
            </w:tcMar>
          </w:tcPr>
          <w:p>
            <w:pPr>
              <w:spacing w:after="0" w:line="240" w:lineRule="auto"/>
            </w:pPr>
            <w:r/>
            <w:r>
              <w:rPr>
                <w:rFonts w:ascii="Arial" w:hAnsi="Arial"/>
                <w:b w:val="0"/>
                <w:sz w:val="17"/>
              </w:rPr>
              <w:t>Hu et al. (2020)</w:t>
              <w:br/>
              <w:t>DCCRN: Deep Complex Convolution Recurrent Network</w:t>
            </w:r>
          </w:p>
        </w:tc>
        <w:tc>
          <w:tcPr>
            <w:tcW w:type="dxa" w:w="3024"/>
            <w:vAlign w:val="center"/>
            <w:tcMar>
              <w:top w:w="80" w:type="dxa"/>
              <w:start w:w="90" w:type="dxa"/>
              <w:bottom w:w="80" w:type="dxa"/>
              <w:end w:w="90" w:type="dxa"/>
            </w:tcMar>
          </w:tcPr>
          <w:p>
            <w:pPr>
              <w:spacing w:after="0" w:line="240" w:lineRule="auto"/>
            </w:pPr>
            <w:r/>
            <w:r>
              <w:rPr>
                <w:rFonts w:ascii="Arial" w:hAnsi="Arial"/>
                <w:b w:val="0"/>
                <w:sz w:val="17"/>
              </w:rPr>
              <w:t>Complex convolution and recurrence model magnitude and phase information for speech enhancement.</w:t>
            </w:r>
          </w:p>
        </w:tc>
        <w:tc>
          <w:tcPr>
            <w:tcW w:type="dxa" w:w="4320"/>
            <w:vAlign w:val="center"/>
            <w:tcMar>
              <w:top w:w="80" w:type="dxa"/>
              <w:start w:w="90" w:type="dxa"/>
              <w:bottom w:w="80" w:type="dxa"/>
              <w:end w:w="90" w:type="dxa"/>
            </w:tcMar>
          </w:tcPr>
          <w:p>
            <w:pPr>
              <w:spacing w:after="0" w:line="240" w:lineRule="auto"/>
            </w:pPr>
            <w:r/>
            <w:r>
              <w:rPr>
                <w:rFonts w:ascii="Arial" w:hAnsi="Arial"/>
                <w:b w:val="0"/>
                <w:sz w:val="17"/>
              </w:rPr>
              <w:t>WSJ0/MUSAN controlled mixtures followed by DNS Challenge evaluation. Shows the benefit of phase-aware modeling, with higher implementation cost than the first baseline.</w:t>
            </w:r>
          </w:p>
        </w:tc>
      </w:tr>
      <w:tr>
        <w:tc>
          <w:tcPr>
            <w:tcW w:type="dxa" w:w="2951"/>
            <w:vAlign w:val="center"/>
            <w:tcMar>
              <w:top w:w="80" w:type="dxa"/>
              <w:start w:w="90" w:type="dxa"/>
              <w:bottom w:w="80" w:type="dxa"/>
              <w:end w:w="90" w:type="dxa"/>
            </w:tcMar>
          </w:tcPr>
          <w:p>
            <w:pPr>
              <w:spacing w:after="0" w:line="240" w:lineRule="auto"/>
            </w:pPr>
            <w:r/>
            <w:r>
              <w:rPr>
                <w:rFonts w:ascii="Arial" w:hAnsi="Arial"/>
                <w:b w:val="0"/>
                <w:sz w:val="17"/>
              </w:rPr>
              <w:t>Schröter et al. (2022)</w:t>
              <w:br/>
              <w:t>DeepFilterNet2</w:t>
            </w:r>
          </w:p>
        </w:tc>
        <w:tc>
          <w:tcPr>
            <w:tcW w:type="dxa" w:w="3024"/>
            <w:vAlign w:val="center"/>
            <w:tcMar>
              <w:top w:w="80" w:type="dxa"/>
              <w:start w:w="90" w:type="dxa"/>
              <w:bottom w:w="80" w:type="dxa"/>
              <w:end w:w="90" w:type="dxa"/>
            </w:tcMar>
          </w:tcPr>
          <w:p>
            <w:pPr>
              <w:spacing w:after="0" w:line="240" w:lineRule="auto"/>
            </w:pPr>
            <w:r/>
            <w:r>
              <w:rPr>
                <w:rFonts w:ascii="Arial" w:hAnsi="Arial"/>
                <w:b w:val="0"/>
                <w:sz w:val="17"/>
              </w:rPr>
              <w:t>Efficient deep filtering, harmonic structure, and a reduced temporal footprint for embedded real-time use.</w:t>
            </w:r>
          </w:p>
        </w:tc>
        <w:tc>
          <w:tcPr>
            <w:tcW w:type="dxa" w:w="4320"/>
            <w:vAlign w:val="center"/>
            <w:tcMar>
              <w:top w:w="80" w:type="dxa"/>
              <w:start w:w="90" w:type="dxa"/>
              <w:bottom w:w="80" w:type="dxa"/>
              <w:end w:w="90" w:type="dxa"/>
            </w:tcMar>
          </w:tcPr>
          <w:p>
            <w:pPr>
              <w:spacing w:after="0" w:line="240" w:lineRule="auto"/>
            </w:pPr>
            <w:r/>
            <w:r>
              <w:rPr>
                <w:rFonts w:ascii="Arial" w:hAnsi="Arial"/>
                <w:b w:val="0"/>
                <w:sz w:val="17"/>
              </w:rPr>
              <w:t>English DNS4 training; VoiceBank+DEMAND and DNS4 blind testing. Strong quality/compute reference, but the standard focus is speech enhancement rather than full dereverberation.</w:t>
            </w:r>
          </w:p>
        </w:tc>
      </w:tr>
      <w:tr>
        <w:tc>
          <w:tcPr>
            <w:tcW w:type="dxa" w:w="2951"/>
            <w:vAlign w:val="center"/>
            <w:tcMar>
              <w:top w:w="80" w:type="dxa"/>
              <w:start w:w="90" w:type="dxa"/>
              <w:bottom w:w="80" w:type="dxa"/>
              <w:end w:w="90" w:type="dxa"/>
            </w:tcMar>
          </w:tcPr>
          <w:p>
            <w:pPr>
              <w:spacing w:after="0" w:line="240" w:lineRule="auto"/>
            </w:pPr>
            <w:r/>
            <w:r>
              <w:rPr>
                <w:rFonts w:ascii="Arial" w:hAnsi="Arial"/>
                <w:b w:val="0"/>
                <w:sz w:val="17"/>
              </w:rPr>
              <w:t>Rosenbaum et al. (2025)</w:t>
              <w:br/>
              <w:t>Efficient Real-Time Speech Enhancement and Dereverberation</w:t>
            </w:r>
          </w:p>
        </w:tc>
        <w:tc>
          <w:tcPr>
            <w:tcW w:type="dxa" w:w="3024"/>
            <w:vAlign w:val="center"/>
            <w:tcMar>
              <w:top w:w="80" w:type="dxa"/>
              <w:start w:w="90" w:type="dxa"/>
              <w:bottom w:w="80" w:type="dxa"/>
              <w:end w:w="90" w:type="dxa"/>
            </w:tcMar>
          </w:tcPr>
          <w:p>
            <w:pPr>
              <w:spacing w:after="0" w:line="240" w:lineRule="auto"/>
            </w:pPr>
            <w:r/>
            <w:r>
              <w:rPr>
                <w:rFonts w:ascii="Arial" w:hAnsi="Arial"/>
                <w:b w:val="0"/>
                <w:sz w:val="17"/>
              </w:rPr>
              <w:t>Extends efficient deep filtering with delayed information to address late reverberation and compares simultaneous versus two-step processing.</w:t>
            </w:r>
          </w:p>
        </w:tc>
        <w:tc>
          <w:tcPr>
            <w:tcW w:type="dxa" w:w="4320"/>
            <w:vAlign w:val="center"/>
            <w:tcMar>
              <w:top w:w="80" w:type="dxa"/>
              <w:start w:w="90" w:type="dxa"/>
              <w:bottom w:w="80" w:type="dxa"/>
              <w:end w:w="90" w:type="dxa"/>
            </w:tcMar>
          </w:tcPr>
          <w:p>
            <w:pPr>
              <w:spacing w:after="0" w:line="240" w:lineRule="auto"/>
            </w:pPr>
            <w:r/>
            <w:r>
              <w:rPr>
                <w:rFonts w:ascii="Arial" w:hAnsi="Arial"/>
                <w:b w:val="0"/>
                <w:sz w:val="17"/>
              </w:rPr>
              <w:t>DNS Challenge training and VCTK/DEMAND-style evaluation. Closest match to the project because it joins dereverberation with efficiency measurements.</w:t>
            </w:r>
          </w:p>
        </w:tc>
      </w:tr>
    </w:tbl>
    <w:p>
      <w:pPr>
        <w:spacing w:after="0"/>
      </w:pPr>
    </w:p>
    <w:p>
      <w:r>
        <w:t>Literature conclusion: the project should not begin with a large offline model. It should first establish a causal, measurable baseline and then add an efficient learned deep-filtering model with explicit delayed context for dereverberation.</w:t>
      </w:r>
    </w:p>
    <w:p>
      <w:pPr>
        <w:pStyle w:val="Heading1"/>
      </w:pPr>
      <w:r>
        <w:t>3. Dataset Collection and Justification</w:t>
      </w:r>
    </w:p>
    <w:p>
      <w:r>
        <w:t>The dataset plan uses the same sources as the literature where that improves comparability, but separates development data from final benchmark data. Controlled mixtures are used first because their clean reference, SNR, room response, RT60, and random seed are known exactly. External datasets are then used to check whether the improvement transfers to human speech and varied acoustic conditions.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vAlign w:val="center"/>
            <w:tcMar>
              <w:top w:w="80" w:type="dxa"/>
              <w:start w:w="90" w:type="dxa"/>
              <w:bottom w:w="80" w:type="dxa"/>
              <w:end w:w="90" w:type="dxa"/>
            </w:tcMar>
          </w:tcPr>
          <w:p>
            <w:pPr>
              <w:spacing w:after="0" w:line="240" w:lineRule="auto"/>
            </w:pPr>
            <w:r/>
            <w:r>
              <w:rPr>
                <w:rFonts w:ascii="Arial" w:hAnsi="Arial"/>
                <w:b/>
                <w:sz w:val="18"/>
              </w:rPr>
              <w:t>Dataset</w:t>
            </w:r>
          </w:p>
        </w:tc>
        <w:tc>
          <w:tcPr>
            <w:tcW w:type="dxa" w:w="1944"/>
            <w:vAlign w:val="center"/>
            <w:tcMar>
              <w:top w:w="80" w:type="dxa"/>
              <w:start w:w="90" w:type="dxa"/>
              <w:bottom w:w="80" w:type="dxa"/>
              <w:end w:w="90" w:type="dxa"/>
            </w:tcMar>
          </w:tcPr>
          <w:p>
            <w:pPr>
              <w:spacing w:after="0" w:line="240" w:lineRule="auto"/>
            </w:pPr>
            <w:r/>
            <w:r>
              <w:rPr>
                <w:rFonts w:ascii="Arial" w:hAnsi="Arial"/>
                <w:b/>
                <w:sz w:val="18"/>
              </w:rPr>
              <w:t>Role</w:t>
            </w:r>
          </w:p>
        </w:tc>
        <w:tc>
          <w:tcPr>
            <w:tcW w:type="dxa" w:w="3096"/>
            <w:vAlign w:val="center"/>
            <w:tcMar>
              <w:top w:w="80" w:type="dxa"/>
              <w:start w:w="90" w:type="dxa"/>
              <w:bottom w:w="80" w:type="dxa"/>
              <w:end w:w="90" w:type="dxa"/>
            </w:tcMar>
          </w:tcPr>
          <w:p>
            <w:pPr>
              <w:spacing w:after="0" w:line="240" w:lineRule="auto"/>
            </w:pPr>
            <w:r/>
            <w:r>
              <w:rPr>
                <w:rFonts w:ascii="Arial" w:hAnsi="Arial"/>
                <w:b/>
                <w:sz w:val="18"/>
              </w:rPr>
              <w:t>Why selected</w:t>
            </w:r>
          </w:p>
        </w:tc>
        <w:tc>
          <w:tcPr>
            <w:tcW w:type="dxa" w:w="3311"/>
            <w:vAlign w:val="center"/>
            <w:tcMar>
              <w:top w:w="80" w:type="dxa"/>
              <w:start w:w="90" w:type="dxa"/>
              <w:bottom w:w="80" w:type="dxa"/>
              <w:end w:w="90" w:type="dxa"/>
            </w:tcMar>
          </w:tcPr>
          <w:p>
            <w:pPr>
              <w:spacing w:after="0" w:line="240" w:lineRule="auto"/>
            </w:pPr>
            <w:r/>
            <w:r>
              <w:rPr>
                <w:rFonts w:ascii="Arial" w:hAnsi="Arial"/>
                <w:b/>
                <w:sz w:val="18"/>
              </w:rPr>
              <w:t>Project use</w:t>
            </w:r>
          </w:p>
        </w:tc>
      </w:tr>
      <w:tr>
        <w:tc>
          <w:tcPr>
            <w:tcW w:type="dxa" w:w="1944"/>
            <w:vAlign w:val="center"/>
            <w:tcMar>
              <w:top w:w="80" w:type="dxa"/>
              <w:start w:w="90" w:type="dxa"/>
              <w:bottom w:w="80" w:type="dxa"/>
              <w:end w:w="90" w:type="dxa"/>
            </w:tcMar>
          </w:tcPr>
          <w:p>
            <w:pPr>
              <w:spacing w:after="0" w:line="240" w:lineRule="auto"/>
            </w:pPr>
            <w:r/>
            <w:r>
              <w:rPr>
                <w:rFonts w:ascii="Arial" w:hAnsi="Arial"/>
                <w:b w:val="0"/>
                <w:sz w:val="17"/>
              </w:rPr>
              <w:t>VoiceBank-DEMAND</w:t>
            </w:r>
          </w:p>
        </w:tc>
        <w:tc>
          <w:tcPr>
            <w:tcW w:type="dxa" w:w="1944"/>
            <w:vAlign w:val="center"/>
            <w:tcMar>
              <w:top w:w="80" w:type="dxa"/>
              <w:start w:w="90" w:type="dxa"/>
              <w:bottom w:w="80" w:type="dxa"/>
              <w:end w:w="90" w:type="dxa"/>
            </w:tcMar>
          </w:tcPr>
          <w:p>
            <w:pPr>
              <w:spacing w:after="0" w:line="240" w:lineRule="auto"/>
            </w:pPr>
            <w:r/>
            <w:r>
              <w:rPr>
                <w:rFonts w:ascii="Arial" w:hAnsi="Arial"/>
                <w:b w:val="0"/>
                <w:sz w:val="17"/>
              </w:rPr>
              <w:t>Paired clean/noisy speech</w:t>
            </w:r>
          </w:p>
        </w:tc>
        <w:tc>
          <w:tcPr>
            <w:tcW w:type="dxa" w:w="3096"/>
            <w:vAlign w:val="center"/>
            <w:tcMar>
              <w:top w:w="80" w:type="dxa"/>
              <w:start w:w="90" w:type="dxa"/>
              <w:bottom w:w="80" w:type="dxa"/>
              <w:end w:w="90" w:type="dxa"/>
            </w:tcMar>
          </w:tcPr>
          <w:p>
            <w:pPr>
              <w:spacing w:after="0" w:line="240" w:lineRule="auto"/>
            </w:pPr>
            <w:r/>
            <w:r>
              <w:rPr>
                <w:rFonts w:ascii="Arial" w:hAnsi="Arial"/>
                <w:b w:val="0"/>
                <w:sz w:val="17"/>
              </w:rPr>
              <w:t>Compact and easy to interpret; supports before/after objective comparison with aligned references.</w:t>
            </w:r>
          </w:p>
        </w:tc>
        <w:tc>
          <w:tcPr>
            <w:tcW w:type="dxa" w:w="3311"/>
            <w:vAlign w:val="center"/>
            <w:tcMar>
              <w:top w:w="80" w:type="dxa"/>
              <w:start w:w="90" w:type="dxa"/>
              <w:bottom w:w="80" w:type="dxa"/>
              <w:end w:w="90" w:type="dxa"/>
            </w:tcMar>
          </w:tcPr>
          <w:p>
            <w:pPr>
              <w:spacing w:after="0" w:line="240" w:lineRule="auto"/>
            </w:pPr>
            <w:r/>
            <w:r>
              <w:rPr>
                <w:rFonts w:ascii="Arial" w:hAnsi="Arial"/>
                <w:b w:val="0"/>
                <w:sz w:val="17"/>
              </w:rPr>
              <w:t>First external paired denoising check; keep speaker splits disjoint.</w:t>
            </w:r>
          </w:p>
        </w:tc>
      </w:tr>
      <w:tr>
        <w:tc>
          <w:tcPr>
            <w:tcW w:type="dxa" w:w="1944"/>
            <w:vAlign w:val="center"/>
            <w:tcMar>
              <w:top w:w="80" w:type="dxa"/>
              <w:start w:w="90" w:type="dxa"/>
              <w:bottom w:w="80" w:type="dxa"/>
              <w:end w:w="90" w:type="dxa"/>
            </w:tcMar>
          </w:tcPr>
          <w:p>
            <w:pPr>
              <w:spacing w:after="0" w:line="240" w:lineRule="auto"/>
            </w:pPr>
            <w:r/>
            <w:r>
              <w:rPr>
                <w:rFonts w:ascii="Arial" w:hAnsi="Arial"/>
                <w:b w:val="0"/>
                <w:sz w:val="17"/>
              </w:rPr>
              <w:t>DNS Challenge</w:t>
            </w:r>
          </w:p>
        </w:tc>
        <w:tc>
          <w:tcPr>
            <w:tcW w:type="dxa" w:w="1944"/>
            <w:vAlign w:val="center"/>
            <w:tcMar>
              <w:top w:w="80" w:type="dxa"/>
              <w:start w:w="90" w:type="dxa"/>
              <w:bottom w:w="80" w:type="dxa"/>
              <w:end w:w="90" w:type="dxa"/>
            </w:tcMar>
          </w:tcPr>
          <w:p>
            <w:pPr>
              <w:spacing w:after="0" w:line="240" w:lineRule="auto"/>
            </w:pPr>
            <w:r/>
            <w:r>
              <w:rPr>
                <w:rFonts w:ascii="Arial" w:hAnsi="Arial"/>
                <w:b w:val="0"/>
                <w:sz w:val="17"/>
              </w:rPr>
              <w:t>Varied speech, noise, and room-response source</w:t>
            </w:r>
          </w:p>
        </w:tc>
        <w:tc>
          <w:tcPr>
            <w:tcW w:type="dxa" w:w="3096"/>
            <w:vAlign w:val="center"/>
            <w:tcMar>
              <w:top w:w="80" w:type="dxa"/>
              <w:start w:w="90" w:type="dxa"/>
              <w:bottom w:w="80" w:type="dxa"/>
              <w:end w:w="90" w:type="dxa"/>
            </w:tcMar>
          </w:tcPr>
          <w:p>
            <w:pPr>
              <w:spacing w:after="0" w:line="240" w:lineRule="auto"/>
            </w:pPr>
            <w:r/>
            <w:r>
              <w:rPr>
                <w:rFonts w:ascii="Arial" w:hAnsi="Arial"/>
                <w:b w:val="0"/>
                <w:sz w:val="17"/>
              </w:rPr>
              <w:t>Broad noise diversity and a documented mixture workflow; shared with several real-time papers.</w:t>
            </w:r>
          </w:p>
        </w:tc>
        <w:tc>
          <w:tcPr>
            <w:tcW w:type="dxa" w:w="3311"/>
            <w:vAlign w:val="center"/>
            <w:tcMar>
              <w:top w:w="80" w:type="dxa"/>
              <w:start w:w="90" w:type="dxa"/>
              <w:bottom w:w="80" w:type="dxa"/>
              <w:end w:w="90" w:type="dxa"/>
            </w:tcMar>
          </w:tcPr>
          <w:p>
            <w:pPr>
              <w:spacing w:after="0" w:line="240" w:lineRule="auto"/>
            </w:pPr>
            <w:r/>
            <w:r>
              <w:rPr>
                <w:rFonts w:ascii="Arial" w:hAnsi="Arial"/>
                <w:b w:val="0"/>
                <w:sz w:val="17"/>
              </w:rPr>
              <w:t>Use an approved development subset first, then expand for training/evaluation.</w:t>
            </w:r>
          </w:p>
        </w:tc>
      </w:tr>
      <w:tr>
        <w:tc>
          <w:tcPr>
            <w:tcW w:type="dxa" w:w="1944"/>
            <w:vAlign w:val="center"/>
            <w:tcMar>
              <w:top w:w="80" w:type="dxa"/>
              <w:start w:w="90" w:type="dxa"/>
              <w:bottom w:w="80" w:type="dxa"/>
              <w:end w:w="90" w:type="dxa"/>
            </w:tcMar>
          </w:tcPr>
          <w:p>
            <w:pPr>
              <w:spacing w:after="0" w:line="240" w:lineRule="auto"/>
            </w:pPr>
            <w:r/>
            <w:r>
              <w:rPr>
                <w:rFonts w:ascii="Arial" w:hAnsi="Arial"/>
                <w:b w:val="0"/>
                <w:sz w:val="17"/>
              </w:rPr>
              <w:t>REVERB Challenge</w:t>
            </w:r>
          </w:p>
        </w:tc>
        <w:tc>
          <w:tcPr>
            <w:tcW w:type="dxa" w:w="1944"/>
            <w:vAlign w:val="center"/>
            <w:tcMar>
              <w:top w:w="80" w:type="dxa"/>
              <w:start w:w="90" w:type="dxa"/>
              <w:bottom w:w="80" w:type="dxa"/>
              <w:end w:w="90" w:type="dxa"/>
            </w:tcMar>
          </w:tcPr>
          <w:p>
            <w:pPr>
              <w:spacing w:after="0" w:line="240" w:lineRule="auto"/>
            </w:pPr>
            <w:r/>
            <w:r>
              <w:rPr>
                <w:rFonts w:ascii="Arial" w:hAnsi="Arial"/>
                <w:b w:val="0"/>
                <w:sz w:val="17"/>
              </w:rPr>
              <w:t>Measured rooms and distant speech</w:t>
            </w:r>
          </w:p>
        </w:tc>
        <w:tc>
          <w:tcPr>
            <w:tcW w:type="dxa" w:w="3096"/>
            <w:vAlign w:val="center"/>
            <w:tcMar>
              <w:top w:w="80" w:type="dxa"/>
              <w:start w:w="90" w:type="dxa"/>
              <w:bottom w:w="80" w:type="dxa"/>
              <w:end w:w="90" w:type="dxa"/>
            </w:tcMar>
          </w:tcPr>
          <w:p>
            <w:pPr>
              <w:spacing w:after="0" w:line="240" w:lineRule="auto"/>
            </w:pPr>
            <w:r/>
            <w:r>
              <w:rPr>
                <w:rFonts w:ascii="Arial" w:hAnsi="Arial"/>
                <w:b w:val="0"/>
                <w:sz w:val="17"/>
              </w:rPr>
              <w:t>Directly tests reverberation in simulated and real-room conditions.</w:t>
            </w:r>
          </w:p>
        </w:tc>
        <w:tc>
          <w:tcPr>
            <w:tcW w:type="dxa" w:w="3311"/>
            <w:vAlign w:val="center"/>
            <w:tcMar>
              <w:top w:w="80" w:type="dxa"/>
              <w:start w:w="90" w:type="dxa"/>
              <w:bottom w:w="80" w:type="dxa"/>
              <w:end w:w="90" w:type="dxa"/>
            </w:tcMar>
          </w:tcPr>
          <w:p>
            <w:pPr>
              <w:spacing w:after="0" w:line="240" w:lineRule="auto"/>
            </w:pPr>
            <w:r/>
            <w:r>
              <w:rPr>
                <w:rFonts w:ascii="Arial" w:hAnsi="Arial"/>
                <w:b w:val="0"/>
                <w:sz w:val="17"/>
              </w:rPr>
              <w:t>Use for the focused dereverberation comparison after the baseline is stable.</w:t>
            </w:r>
          </w:p>
        </w:tc>
      </w:tr>
      <w:tr>
        <w:tc>
          <w:tcPr>
            <w:tcW w:type="dxa" w:w="1944"/>
            <w:vAlign w:val="center"/>
            <w:tcMar>
              <w:top w:w="80" w:type="dxa"/>
              <w:start w:w="90" w:type="dxa"/>
              <w:bottom w:w="80" w:type="dxa"/>
              <w:end w:w="90" w:type="dxa"/>
            </w:tcMar>
          </w:tcPr>
          <w:p>
            <w:pPr>
              <w:spacing w:after="0" w:line="240" w:lineRule="auto"/>
            </w:pPr>
            <w:r/>
            <w:r>
              <w:rPr>
                <w:rFonts w:ascii="Arial" w:hAnsi="Arial"/>
                <w:b w:val="0"/>
                <w:sz w:val="17"/>
              </w:rPr>
              <w:t>Controlled project mixtures</w:t>
            </w:r>
          </w:p>
        </w:tc>
        <w:tc>
          <w:tcPr>
            <w:tcW w:type="dxa" w:w="1944"/>
            <w:vAlign w:val="center"/>
            <w:tcMar>
              <w:top w:w="80" w:type="dxa"/>
              <w:start w:w="90" w:type="dxa"/>
              <w:bottom w:w="80" w:type="dxa"/>
              <w:end w:w="90" w:type="dxa"/>
            </w:tcMar>
          </w:tcPr>
          <w:p>
            <w:pPr>
              <w:spacing w:after="0" w:line="240" w:lineRule="auto"/>
            </w:pPr>
            <w:r/>
            <w:r>
              <w:rPr>
                <w:rFonts w:ascii="Arial" w:hAnsi="Arial"/>
                <w:b w:val="0"/>
                <w:sz w:val="17"/>
              </w:rPr>
              <w:t>Development and ablation fixture</w:t>
            </w:r>
          </w:p>
        </w:tc>
        <w:tc>
          <w:tcPr>
            <w:tcW w:type="dxa" w:w="3096"/>
            <w:vAlign w:val="center"/>
            <w:tcMar>
              <w:top w:w="80" w:type="dxa"/>
              <w:start w:w="90" w:type="dxa"/>
              <w:bottom w:w="80" w:type="dxa"/>
              <w:end w:w="90" w:type="dxa"/>
            </w:tcMar>
          </w:tcPr>
          <w:p>
            <w:pPr>
              <w:spacing w:after="0" w:line="240" w:lineRule="auto"/>
            </w:pPr>
            <w:r/>
            <w:r>
              <w:rPr>
                <w:rFonts w:ascii="Arial" w:hAnsi="Arial"/>
                <w:b w:val="0"/>
                <w:sz w:val="17"/>
              </w:rPr>
              <w:t>Repeatable and small; makes causal and overlap-add bugs easy to isolate.</w:t>
            </w:r>
          </w:p>
        </w:tc>
        <w:tc>
          <w:tcPr>
            <w:tcW w:type="dxa" w:w="3311"/>
            <w:vAlign w:val="center"/>
            <w:tcMar>
              <w:top w:w="80" w:type="dxa"/>
              <w:start w:w="90" w:type="dxa"/>
              <w:bottom w:w="80" w:type="dxa"/>
              <w:end w:w="90" w:type="dxa"/>
            </w:tcMar>
          </w:tcPr>
          <w:p>
            <w:pPr>
              <w:spacing w:after="0" w:line="240" w:lineRule="auto"/>
            </w:pPr>
            <w:r/>
            <w:r>
              <w:rPr>
                <w:rFonts w:ascii="Arial" w:hAnsi="Arial"/>
                <w:b w:val="0"/>
                <w:sz w:val="17"/>
              </w:rPr>
              <w:t>Use now for smoke tests, initial results, and denoising-only versus joint settings.</w:t>
            </w:r>
          </w:p>
        </w:tc>
      </w:tr>
    </w:tbl>
    <w:p>
      <w:pPr>
        <w:spacing w:after="0"/>
      </w:pPr>
    </w:p>
    <w:p>
      <w:r>
        <w:t>The datasets are not all identical because the project has a deployment constraint. Full challenge datasets are large, and a large training run can hide whether a failure comes from the model, data loader, or streaming implementation. The staged plan therefore shares DNS, VoiceBank-DEMAND, and REVERB with the papers for comparability while using controlled data first for reproducibility. Raw data will remain outside Git; only manifests, checksums, and small fixtures belong in the repository.</w:t>
      </w:r>
    </w:p>
    <w:p>
      <w:r>
        <w:t>Collection procedure:</w:t>
      </w:r>
    </w:p>
    <w:p>
      <w:pPr>
        <w:pStyle w:val="ListNumber"/>
      </w:pPr>
      <w:r>
        <w:t>record the source URL, access date, version, licence, citation, local path, and checksum;</w:t>
      </w:r>
    </w:p>
    <w:p>
      <w:pPr>
        <w:pStyle w:val="ListNumber"/>
      </w:pPr>
      <w:r>
        <w:t>keep speakers disjoint between training, validation, and test splits;</w:t>
      </w:r>
    </w:p>
    <w:p>
      <w:pPr>
        <w:pStyle w:val="ListNumber"/>
      </w:pPr>
      <w:r>
        <w:t>preserve original audio and write resampled copies into a separate processed directory;</w:t>
      </w:r>
    </w:p>
    <w:p>
      <w:pPr>
        <w:pStyle w:val="ListNumber"/>
      </w:pPr>
      <w:r>
        <w:t>generate a manifest containing sample rate, channels, duration, and file path for every split; and</w:t>
      </w:r>
    </w:p>
    <w:p>
      <w:pPr>
        <w:pStyle w:val="ListNumber"/>
      </w:pPr>
      <w:r>
        <w:t>store the exact manifest beside every evaluation report.</w:t>
      </w:r>
    </w:p>
    <w:p>
      <w:pPr>
        <w:pStyle w:val="Heading1"/>
      </w:pPr>
      <w:r>
        <w:t>4. System Design and Workflow</w:t>
      </w:r>
    </w:p>
    <w:p>
      <w:r>
        <w:t>The system is organized as a streaming pipeline. Audio arrives in small chunks, state is retained between calls, and only the permitted current and past frames are used. The enhancement engine is separated from input/output and measurement code so that the initial spectral baseline can later be replaced by an efficient learned model.</w:t>
      </w:r>
    </w:p>
    <w:p>
      <w:pPr>
        <w:spacing w:before="120" w:after="80"/>
        <w:jc w:val="center"/>
      </w:pPr>
      <w:r>
        <w:rPr>
          <w:rFonts w:ascii="Courier New" w:hAnsi="Courier New"/>
          <w:sz w:val="18"/>
        </w:rPr>
        <w:t>Audio source</w:t>
        <w:br/>
        <w:t xml:space="preserve">     |</w:t>
        <w:br/>
        <w:t>Streaming buffer -&gt; framing/VAD -&gt; STFT -&gt; efficient enhancer</w:t>
        <w:br/>
        <w:t xml:space="preserve">                                             |</w:t>
        <w:br/>
        <w:t xml:space="preserve">                        denoising + dereverberation state</w:t>
        <w:br/>
        <w:t xml:space="preserve">                                             |</w:t>
        <w:br/>
        <w:t xml:space="preserve">              ISTFT + overlap-add -&gt; enhanced audio stream</w:t>
        <w:br/>
        <w:t xml:space="preserve">                                             |</w:t>
        <w:br/>
        <w:t xml:space="preserve">                         ASR / recording / application</w:t>
      </w:r>
    </w:p>
    <w:p>
      <w:pPr>
        <w:jc w:val="center"/>
      </w:pPr>
      <w:r>
        <w:t>Figure 1. Plain-text workflow of the proposed streaming front end.</w:t>
      </w:r>
    </w:p>
    <w:p>
      <w:pPr>
        <w:pStyle w:val="Heading2"/>
      </w:pPr>
      <w:r>
        <w:t>4.1 Processing stages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2376"/>
            <w:vAlign w:val="center"/>
            <w:tcMar>
              <w:top w:w="80" w:type="dxa"/>
              <w:start w:w="90" w:type="dxa"/>
              <w:bottom w:w="80" w:type="dxa"/>
              <w:end w:w="90" w:type="dxa"/>
            </w:tcMar>
          </w:tcPr>
          <w:p>
            <w:pPr>
              <w:spacing w:after="0" w:line="240" w:lineRule="auto"/>
            </w:pPr>
            <w:r/>
            <w:r>
              <w:rPr>
                <w:rFonts w:ascii="Arial" w:hAnsi="Arial"/>
                <w:b/>
                <w:sz w:val="18"/>
              </w:rPr>
              <w:t>Stage</w:t>
            </w:r>
          </w:p>
        </w:tc>
        <w:tc>
          <w:tcPr>
            <w:tcW w:type="dxa" w:w="7920"/>
            <w:vAlign w:val="center"/>
            <w:tcMar>
              <w:top w:w="80" w:type="dxa"/>
              <w:start w:w="90" w:type="dxa"/>
              <w:bottom w:w="80" w:type="dxa"/>
              <w:end w:w="90" w:type="dxa"/>
            </w:tcMar>
          </w:tcPr>
          <w:p>
            <w:pPr>
              <w:spacing w:after="0" w:line="240" w:lineRule="auto"/>
            </w:pPr>
            <w:r/>
            <w:r>
              <w:rPr>
                <w:rFonts w:ascii="Arial" w:hAnsi="Arial"/>
                <w:b/>
                <w:sz w:val="18"/>
              </w:rPr>
              <w:t>Description</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Input and buffering</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Read microphone or WAV samples and accumulate bounded chunks.</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Framing and STFT</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Convert each frame to the time-frequency domain while retaining state across chunks.</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Enhancement</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Apply conservative noise suppression and a bounded dereverberation operation. The planned learned replacement follows the selected paper's efficient deep-filtering and delayed-context direction.</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Reconstruction</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Apply the inverse STFT and overlap-add so that chunk boundaries do not create discontinuities.</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Measurement</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Record SNR, SI-SDR, real-time factor, nominal algorithmic latency, CPU, memory, and model size when the relevant reference and runtime are available.</w:t>
            </w:r>
          </w:p>
        </w:tc>
      </w:tr>
      <w:tr>
        <w:tc>
          <w:tcPr>
            <w:tcW w:type="dxa" w:w="2376"/>
            <w:vAlign w:val="center"/>
            <w:tcMar>
              <w:top w:w="80" w:type="dxa"/>
              <w:start w:w="90" w:type="dxa"/>
              <w:bottom w:w="80" w:type="dxa"/>
              <w:end w:w="90" w:type="dxa"/>
            </w:tcMar>
          </w:tcPr>
          <w:p>
            <w:pPr>
              <w:spacing w:after="0" w:line="240" w:lineRule="auto"/>
            </w:pPr>
            <w:r/>
            <w:r>
              <w:rPr>
                <w:rFonts w:ascii="Arial" w:hAnsi="Arial"/>
                <w:b w:val="0"/>
                <w:sz w:val="17"/>
              </w:rPr>
              <w:t>Downstream use</w:t>
            </w:r>
          </w:p>
        </w:tc>
        <w:tc>
          <w:tcPr>
            <w:tcW w:type="dxa" w:w="7920"/>
            <w:vAlign w:val="center"/>
            <w:tcMar>
              <w:top w:w="80" w:type="dxa"/>
              <w:start w:w="90" w:type="dxa"/>
              <w:bottom w:w="80" w:type="dxa"/>
              <w:end w:w="90" w:type="dxa"/>
            </w:tcMar>
          </w:tcPr>
          <w:p>
            <w:pPr>
              <w:spacing w:after="0" w:line="240" w:lineRule="auto"/>
            </w:pPr>
            <w:r/>
            <w:r>
              <w:rPr>
                <w:rFonts w:ascii="Arial" w:hAnsi="Arial"/>
                <w:b w:val="0"/>
                <w:sz w:val="17"/>
              </w:rPr>
              <w:t>Pass the enhanced stream to ASR, recording, voice typing, meetings, or conversational software.</w:t>
            </w:r>
          </w:p>
        </w:tc>
      </w:tr>
    </w:tbl>
    <w:p>
      <w:pPr>
        <w:spacing w:after="0"/>
      </w:pPr>
    </w:p>
    <w:p>
      <w:pPr>
        <w:pStyle w:val="Heading1"/>
      </w:pPr>
      <w:r>
        <w:t>5. Implementation Status: Approximately 50% Milestone</w:t>
      </w:r>
    </w:p>
    <w:p>
      <w:r>
        <w:t>The project is at an approximately 50% implementation milestone for the Review 1 scope. The complete streaming path and measurement foundation are available, while the larger datasets, trained efficient neural model, and broader human-speech evaluation remain to be completed.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296"/>
            <w:vAlign w:val="center"/>
            <w:tcMar>
              <w:top w:w="80" w:type="dxa"/>
              <w:start w:w="90" w:type="dxa"/>
              <w:bottom w:w="80" w:type="dxa"/>
              <w:end w:w="90" w:type="dxa"/>
            </w:tcMar>
          </w:tcPr>
          <w:p>
            <w:pPr>
              <w:spacing w:after="0" w:line="240" w:lineRule="auto"/>
            </w:pPr>
            <w:r/>
            <w:r>
              <w:rPr>
                <w:rFonts w:ascii="Arial" w:hAnsi="Arial"/>
                <w:b/>
                <w:sz w:val="18"/>
              </w:rPr>
              <w:t>Status</w:t>
            </w:r>
          </w:p>
        </w:tc>
        <w:tc>
          <w:tcPr>
            <w:tcW w:type="dxa" w:w="3960"/>
            <w:vAlign w:val="center"/>
            <w:tcMar>
              <w:top w:w="80" w:type="dxa"/>
              <w:start w:w="90" w:type="dxa"/>
              <w:bottom w:w="80" w:type="dxa"/>
              <w:end w:w="90" w:type="dxa"/>
            </w:tcMar>
          </w:tcPr>
          <w:p>
            <w:pPr>
              <w:spacing w:after="0" w:line="240" w:lineRule="auto"/>
            </w:pPr>
            <w:r/>
            <w:r>
              <w:rPr>
                <w:rFonts w:ascii="Arial" w:hAnsi="Arial"/>
                <w:b/>
                <w:sz w:val="18"/>
              </w:rPr>
              <w:t>Work item</w:t>
            </w:r>
          </w:p>
        </w:tc>
        <w:tc>
          <w:tcPr>
            <w:tcW w:type="dxa" w:w="5040"/>
            <w:vAlign w:val="center"/>
            <w:tcMar>
              <w:top w:w="80" w:type="dxa"/>
              <w:start w:w="90" w:type="dxa"/>
              <w:bottom w:w="80" w:type="dxa"/>
              <w:end w:w="90" w:type="dxa"/>
            </w:tcMar>
          </w:tcPr>
          <w:p>
            <w:pPr>
              <w:spacing w:after="0" w:line="240" w:lineRule="auto"/>
            </w:pPr>
            <w:r/>
            <w:r>
              <w:rPr>
                <w:rFonts w:ascii="Arial" w:hAnsi="Arial"/>
                <w:b/>
                <w:sz w:val="18"/>
              </w:rPr>
              <w:t>Evidence or next action</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Completed</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Project package and command-line entry points</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Run the demo and manifest commands from a clean checkout.</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Completed</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Audio, STFT/ISTFT, degradation, enhancement, metrics, and dataset-manifest modules</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Provides a reproducible dependency-light baseline.</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Completed</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Causal chunk processing with retained state and overlap-add tail handling</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Supports streaming behavior and nominal latency measurement.</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Completed</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Controlled noisy/reverberant fixture and JSON evaluation report</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Provides an immediate demonstration without external dataset redistribution.</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Completed</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Unit tests and documented reproduction commands</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Protects core signal-processing and metric behavior.</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Next</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Collect and audit VoiceBank-DEMAND, DNS subset, and REVERB data</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Create speaker-disjoint manifests and keep raw data outside Git.</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Next</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Replace or compare the baseline with an efficient learned deep-filtering model</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Measure quality against CPU, memory, model size, RTF, and latency.</w:t>
            </w:r>
          </w:p>
        </w:tc>
      </w:tr>
      <w:tr>
        <w:tc>
          <w:tcPr>
            <w:tcW w:type="dxa" w:w="1296"/>
            <w:vAlign w:val="center"/>
            <w:tcMar>
              <w:top w:w="80" w:type="dxa"/>
              <w:start w:w="90" w:type="dxa"/>
              <w:bottom w:w="80" w:type="dxa"/>
              <w:end w:w="90" w:type="dxa"/>
            </w:tcMar>
          </w:tcPr>
          <w:p>
            <w:pPr>
              <w:spacing w:after="0" w:line="240" w:lineRule="auto"/>
            </w:pPr>
            <w:r/>
            <w:r>
              <w:rPr>
                <w:rFonts w:ascii="Arial" w:hAnsi="Arial"/>
                <w:b w:val="0"/>
                <w:sz w:val="17"/>
              </w:rPr>
              <w:t>Next</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Add ASR WER and human-speech failure-case analysis</w:t>
            </w:r>
          </w:p>
        </w:tc>
        <w:tc>
          <w:tcPr>
            <w:tcW w:type="dxa" w:w="5040"/>
            <w:vAlign w:val="center"/>
            <w:tcMar>
              <w:top w:w="80" w:type="dxa"/>
              <w:start w:w="90" w:type="dxa"/>
              <w:bottom w:w="80" w:type="dxa"/>
              <w:end w:w="90" w:type="dxa"/>
            </w:tcMar>
          </w:tcPr>
          <w:p>
            <w:pPr>
              <w:spacing w:after="0" w:line="240" w:lineRule="auto"/>
            </w:pPr>
            <w:r/>
            <w:r>
              <w:rPr>
                <w:rFonts w:ascii="Arial" w:hAnsi="Arial"/>
                <w:b w:val="0"/>
                <w:sz w:val="17"/>
              </w:rPr>
              <w:t>Confirm that cleaner audio is also useful downstream.</w:t>
            </w:r>
          </w:p>
        </w:tc>
      </w:tr>
    </w:tbl>
    <w:p>
      <w:pPr>
        <w:spacing w:after="0"/>
      </w:pPr>
    </w:p>
    <w:p>
      <w:pPr>
        <w:pStyle w:val="Heading1"/>
      </w:pPr>
      <w:r>
        <w:t>6. Initial Results and Demonstration</w:t>
      </w:r>
    </w:p>
    <w:p>
      <w:r>
        <w:t>The current evidence comes from the controlled synthetic voiced-like fixture generated by the repository. It demonstrates that the complete path executes and that the selected objective measures improve. It is not a human-speech benchmark and must not be reported as final general performance.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168"/>
            <w:vAlign w:val="center"/>
            <w:tcMar>
              <w:top w:w="80" w:type="dxa"/>
              <w:start w:w="90" w:type="dxa"/>
              <w:bottom w:w="80" w:type="dxa"/>
              <w:end w:w="90" w:type="dxa"/>
            </w:tcMar>
          </w:tcPr>
          <w:p>
            <w:pPr>
              <w:spacing w:after="0" w:line="240" w:lineRule="auto"/>
            </w:pPr>
            <w:r/>
            <w:r>
              <w:rPr>
                <w:rFonts w:ascii="Arial" w:hAnsi="Arial"/>
                <w:b/>
                <w:sz w:val="18"/>
              </w:rPr>
              <w:t>Measure</w:t>
            </w:r>
          </w:p>
        </w:tc>
        <w:tc>
          <w:tcPr>
            <w:tcW w:type="dxa" w:w="3168"/>
            <w:vAlign w:val="center"/>
            <w:tcMar>
              <w:top w:w="80" w:type="dxa"/>
              <w:start w:w="90" w:type="dxa"/>
              <w:bottom w:w="80" w:type="dxa"/>
              <w:end w:w="90" w:type="dxa"/>
            </w:tcMar>
          </w:tcPr>
          <w:p>
            <w:pPr>
              <w:spacing w:after="0" w:line="240" w:lineRule="auto"/>
            </w:pPr>
            <w:r/>
            <w:r>
              <w:rPr>
                <w:rFonts w:ascii="Arial" w:hAnsi="Arial"/>
                <w:b/>
                <w:sz w:val="18"/>
              </w:rPr>
              <w:t>Observed value</w:t>
            </w:r>
          </w:p>
        </w:tc>
        <w:tc>
          <w:tcPr>
            <w:tcW w:type="dxa" w:w="3960"/>
            <w:vAlign w:val="center"/>
            <w:tcMar>
              <w:top w:w="80" w:type="dxa"/>
              <w:start w:w="90" w:type="dxa"/>
              <w:bottom w:w="80" w:type="dxa"/>
              <w:end w:w="90" w:type="dxa"/>
            </w:tcMar>
          </w:tcPr>
          <w:p>
            <w:pPr>
              <w:spacing w:after="0" w:line="240" w:lineRule="auto"/>
            </w:pPr>
            <w:r/>
            <w:r>
              <w:rPr>
                <w:rFonts w:ascii="Arial" w:hAnsi="Arial"/>
                <w:b/>
                <w:sz w:val="18"/>
              </w:rPr>
              <w:t>Interpretation</w:t>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Sample rate</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16,000 Hz</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Duration</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5.0 seconds</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Input condition</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Synthetic voiced-like signal with additive noise and synthetic room response</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Target setting</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5 dB SNR; 0.35 s RT60</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Frame / hop</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512 / 128 samples</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Streaming chunk</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256 samples</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SNR</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4.742 dB -&gt; 7.971 dB</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+3.229 dB</w:t>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SI-SDR</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4.829 dB -&gt; 7.817 dB</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+2.987 dB</w:t>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Real-time factor</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0.0262</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Below 1.0 in this run</w:t>
            </w:r>
          </w:p>
        </w:tc>
      </w:tr>
      <w:tr>
        <w:tc>
          <w:tcPr>
            <w:tcW w:type="dxa" w:w="3168"/>
            <w:vAlign w:val="center"/>
            <w:tcMar>
              <w:top w:w="80" w:type="dxa"/>
              <w:start w:w="90" w:type="dxa"/>
              <w:bottom w:w="80" w:type="dxa"/>
              <w:end w:w="90" w:type="dxa"/>
            </w:tcMar>
          </w:tcPr>
          <w:p>
            <w:pPr>
              <w:spacing w:after="0" w:line="240" w:lineRule="auto"/>
            </w:pPr>
            <w:r/>
            <w:r>
              <w:rPr>
                <w:rFonts w:ascii="Arial" w:hAnsi="Arial"/>
                <w:b w:val="0"/>
                <w:sz w:val="17"/>
              </w:rPr>
              <w:t>Nominal algorithmic latency</w:t>
            </w:r>
          </w:p>
        </w:tc>
        <w:tc>
          <w:tcPr>
            <w:tcW w:type="dxa" w:w="3168"/>
            <w:vAlign w:val="center"/>
            <w:tcMar>
              <w:top w:w="80" w:type="dxa"/>
              <w:start w:w="90" w:type="dxa"/>
              <w:bottom w:w="80" w:type="dxa"/>
              <w:end w:w="90" w:type="dxa"/>
            </w:tcMar>
          </w:tcPr>
          <w:p>
            <w:pPr>
              <w:spacing w:after="0" w:line="240" w:lineRule="auto"/>
            </w:pPr>
            <w:r/>
            <w:r>
              <w:rPr>
                <w:rFonts w:ascii="Arial" w:hAnsi="Arial"/>
                <w:b w:val="0"/>
                <w:sz w:val="17"/>
              </w:rPr>
              <w:t>32 ms</w:t>
            </w:r>
          </w:p>
        </w:tc>
        <w:tc>
          <w:tcPr>
            <w:tcW w:type="dxa" w:w="3960"/>
            <w:vAlign w:val="center"/>
            <w:tcMar>
              <w:top w:w="80" w:type="dxa"/>
              <w:start w:w="90" w:type="dxa"/>
              <w:bottom w:w="80" w:type="dxa"/>
              <w:end w:w="90" w:type="dxa"/>
            </w:tcMar>
          </w:tcPr>
          <w:p>
            <w:pPr>
              <w:spacing w:after="0" w:line="240" w:lineRule="auto"/>
            </w:pPr>
            <w:r/>
            <w:r>
              <w:rPr>
                <w:rFonts w:ascii="Arial" w:hAnsi="Arial"/>
                <w:b w:val="0"/>
                <w:sz w:val="17"/>
              </w:rPr>
              <w:t>512 samples at 16 kHz</w:t>
            </w:r>
          </w:p>
        </w:tc>
      </w:tr>
    </w:tbl>
    <w:p>
      <w:pPr>
        <w:spacing w:after="0"/>
      </w:pPr>
    </w:p>
    <w:p>
      <w:r>
        <w:t>The real-time factor is machine- and input-length-dependent. It is evidence for this controlled run, not a hardware-independent claim. Quality metrics such as PESQ, STOI, DNSMOS, and ASR WER should be added only after the corresponding human-speech data and aligned references are available.</w:t>
      </w:r>
    </w:p>
    <w:p>
      <w:r>
        <w:t>Demonstration sequence:</w:t>
      </w:r>
    </w:p>
    <w:p>
      <w:pPr>
        <w:pStyle w:val="ListNumber"/>
      </w:pPr>
      <w:r>
        <w:t>run the demo command to create the clean, degraded, enhanced, generation, and evaluation files;</w:t>
      </w:r>
    </w:p>
    <w:p>
      <w:pPr>
        <w:pStyle w:val="ListNumber"/>
      </w:pPr>
      <w:r>
        <w:t>play the degraded and enhanced audio files;</w:t>
      </w:r>
    </w:p>
    <w:p>
      <w:pPr>
        <w:pStyle w:val="ListNumber"/>
      </w:pPr>
      <w:r>
        <w:t>show the evaluation JSON and explain SNR, SI-SDR, real-time factor, and nominal latency;</w:t>
      </w:r>
    </w:p>
    <w:p>
      <w:pPr>
        <w:pStyle w:val="ListNumber"/>
      </w:pPr>
      <w:r>
        <w:t>repeat on VoiceBank-DEMAND or a recorded human-speech example when the dataset is available; and</w:t>
      </w:r>
    </w:p>
    <w:p>
      <w:pPr>
        <w:pStyle w:val="ListNumber"/>
      </w:pPr>
      <w:r>
        <w:t>add ASR WER only on the same aligned utterances before and after enhancement.</w:t>
      </w:r>
    </w:p>
    <w:p>
      <w:pPr>
        <w:ind w:left="360"/>
      </w:pPr>
      <w:r>
        <w:rPr>
          <w:rFonts w:ascii="Courier New" w:hAnsi="Courier New"/>
          <w:sz w:val="18"/>
        </w:rPr>
        <w:t>python -m realtime_speech_enhancement demo --out-dir artifacts/realtime_speech_enhancement_demo</w:t>
      </w:r>
    </w:p>
    <w:p>
      <w:pPr>
        <w:pStyle w:val="Heading1"/>
      </w:pPr>
      <w:r>
        <w:t>7. Base Paper and Project Additions</w:t>
      </w:r>
    </w:p>
    <w:p>
      <w:r>
        <w:t>The selected base paper is Rosenbaum et al. (2025), Deep-Learning Framework for Efficient Real-Time Speech Enhancement and Dereverberation. It is the closest fit because the project prioritizes fastness and low processing power while still requiring explicit dereverberation. The paper's use of efficient deep filtering, delayed information, and real-time cost comparisons gives the project a practical architecture and evaluation direction.</w:t>
      </w:r>
    </w:p>
    <w:p>
      <w:r>
        <w:t>The project adds the following around that base-paper direction:</w:t>
      </w:r>
    </w:p>
    <w:p>
      <w:pPr>
        <w:pStyle w:val="ListBullet"/>
      </w:pPr>
      <w:r>
        <w:t>causal microphone/WAV chunking with explicit bounded latency;</w:t>
      </w:r>
    </w:p>
    <w:p>
      <w:pPr>
        <w:pStyle w:val="ListBullet"/>
      </w:pPr>
      <w:r>
        <w:t>controlled noisy and reverberant mixture generation with manifests;</w:t>
      </w:r>
    </w:p>
    <w:p>
      <w:pPr>
        <w:pStyle w:val="ListBullet"/>
      </w:pPr>
      <w:r>
        <w:t>separate denoising-only and joint denoising/dereverberation ablations;</w:t>
      </w:r>
    </w:p>
    <w:p>
      <w:pPr>
        <w:pStyle w:val="ListBullet"/>
      </w:pPr>
      <w:r>
        <w:t>CPU, memory, model-size, real-time-factor, and end-to-end latency reporting;</w:t>
      </w:r>
    </w:p>
    <w:p>
      <w:pPr>
        <w:pStyle w:val="ListBullet"/>
      </w:pPr>
      <w:r>
        <w:t>downstream ASR WER when an aligned speech split and ASR model are available; and</w:t>
      </w:r>
    </w:p>
    <w:p>
      <w:pPr>
        <w:pStyle w:val="ListBullet"/>
      </w:pPr>
      <w:r>
        <w:t>failure-case analysis for noise, reverberation, silence, and speech preservation.</w:t>
      </w:r>
    </w:p>
    <w:p>
      <w:r>
        <w:t>The current spectral enhancer is a transparent reference implementation, not a reproduction of the selected neural architecture. This keeps the first demonstration easy to run and leaves a clear interface for the efficient learned model planned for the next implementation stage.</w:t>
      </w:r>
    </w:p>
    <w:p>
      <w:pPr>
        <w:pStyle w:val="Heading1"/>
      </w:pPr>
      <w:r>
        <w:t>8. Conclusion</w:t>
      </w:r>
    </w:p>
    <w:p>
      <w:r>
        <w:t>Review 1 establishes the problem, the five-paper foundation, the dataset rationale, the streaming system design, and an executable initial result. The project has a working low-latency baseline and approximately half of the planned implementation foundation. The next major step is to validate the baseline on external human-speech datasets and then measure an efficient learned dereverberation model under the same quality and low-power constraints.</w:t>
      </w:r>
    </w:p>
    <w:p>
      <w:pPr>
        <w:pStyle w:val="Heading1"/>
      </w:pPr>
      <w:r>
        <w:t>Sources</w:t>
      </w:r>
    </w:p>
    <w:p>
      <w:pPr>
        <w:spacing w:after="40"/>
      </w:pPr>
      <w:r>
        <w:t xml:space="preserve">Valin paper: </w:t>
      </w:r>
      <w:hyperlink r:id="rId10">
        <w:r>
          <w:rPr>
            <w:color w:val="000000"/>
            <w:u w:val="single"/>
          </w:rPr>
          <w:t>Open source page</w:t>
        </w:r>
      </w:hyperlink>
    </w:p>
    <w:p>
      <w:pPr>
        <w:spacing w:after="40"/>
      </w:pPr>
      <w:r>
        <w:t xml:space="preserve">Li et al. paper: </w:t>
      </w:r>
      <w:hyperlink r:id="rId11">
        <w:r>
          <w:rPr>
            <w:color w:val="000000"/>
            <w:u w:val="single"/>
          </w:rPr>
          <w:t>Open source page</w:t>
        </w:r>
      </w:hyperlink>
    </w:p>
    <w:p>
      <w:pPr>
        <w:spacing w:after="40"/>
      </w:pPr>
      <w:r>
        <w:t xml:space="preserve">DCCRN paper: </w:t>
      </w:r>
      <w:hyperlink r:id="rId12">
        <w:r>
          <w:rPr>
            <w:color w:val="000000"/>
            <w:u w:val="single"/>
          </w:rPr>
          <w:t>Open source page</w:t>
        </w:r>
      </w:hyperlink>
    </w:p>
    <w:p>
      <w:pPr>
        <w:spacing w:after="40"/>
      </w:pPr>
      <w:r>
        <w:t xml:space="preserve">DeepFilterNet2 paper: </w:t>
      </w:r>
      <w:hyperlink r:id="rId13">
        <w:r>
          <w:rPr>
            <w:color w:val="000000"/>
            <w:u w:val="single"/>
          </w:rPr>
          <w:t>Open source page</w:t>
        </w:r>
      </w:hyperlink>
    </w:p>
    <w:p>
      <w:pPr>
        <w:spacing w:after="40"/>
      </w:pPr>
      <w:r>
        <w:t xml:space="preserve">Selected base paper: </w:t>
      </w:r>
      <w:hyperlink r:id="rId14">
        <w:r>
          <w:rPr>
            <w:color w:val="000000"/>
            <w:u w:val="single"/>
          </w:rPr>
          <w:t>Open source page</w:t>
        </w:r>
      </w:hyperlink>
    </w:p>
    <w:p>
      <w:pPr>
        <w:spacing w:after="40"/>
      </w:pPr>
      <w:r>
        <w:t xml:space="preserve">VoiceBank-DEMAND access page: </w:t>
      </w:r>
      <w:hyperlink r:id="rId15">
        <w:r>
          <w:rPr>
            <w:color w:val="000000"/>
            <w:u w:val="single"/>
          </w:rPr>
          <w:t>Open source page</w:t>
        </w:r>
      </w:hyperlink>
    </w:p>
    <w:p>
      <w:pPr>
        <w:spacing w:after="40"/>
      </w:pPr>
      <w:r>
        <w:t xml:space="preserve">DNS Challenge repository: </w:t>
      </w:r>
      <w:hyperlink r:id="rId16">
        <w:r>
          <w:rPr>
            <w:color w:val="000000"/>
            <w:u w:val="single"/>
          </w:rPr>
          <w:t>Open source page</w:t>
        </w:r>
      </w:hyperlink>
    </w:p>
    <w:p>
      <w:pPr>
        <w:spacing w:after="40"/>
      </w:pPr>
      <w:r>
        <w:t xml:space="preserve">REVERB Challenge: </w:t>
      </w:r>
      <w:hyperlink r:id="rId17">
        <w:r>
          <w:rPr>
            <w:color w:val="000000"/>
            <w:u w:val="single"/>
          </w:rPr>
          <w:t>Open source page</w:t>
        </w:r>
      </w:hyperlink>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1709.08243" TargetMode="External"/><Relationship Id="rId11" Type="http://schemas.openxmlformats.org/officeDocument/2006/relationships/hyperlink" Target="https://arxiv.org/abs/1708.08251" TargetMode="External"/><Relationship Id="rId12" Type="http://schemas.openxmlformats.org/officeDocument/2006/relationships/hyperlink" Target="https://www.isca-archive.org/interspeech_2020/hu20g_interspeech.html" TargetMode="External"/><Relationship Id="rId13" Type="http://schemas.openxmlformats.org/officeDocument/2006/relationships/hyperlink" Target="https://arxiv.org/abs/2205.05474" TargetMode="External"/><Relationship Id="rId14" Type="http://schemas.openxmlformats.org/officeDocument/2006/relationships/hyperlink" Target="https://www.mdpi.com/1424-8220/25/3/630" TargetMode="External"/><Relationship Id="rId15" Type="http://schemas.openxmlformats.org/officeDocument/2006/relationships/hyperlink" Target="https://datashare.ed.ac.uk/handle/10283/2791" TargetMode="External"/><Relationship Id="rId16" Type="http://schemas.openxmlformats.org/officeDocument/2006/relationships/hyperlink" Target="https://github.com/microsoft/DNS-Challenge" TargetMode="External"/><Relationship Id="rId17" Type="http://schemas.openxmlformats.org/officeDocument/2006/relationships/hyperlink" Target="https://reverb2014.audiolabs-erlangen.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