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Overview of Online Betting Growth</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Online betting has experienced significant growth, transforming various aspects of society and the sports betting world since the Millennium. This surge is driven by several interconnected factors, including technological advancements, global events, and evolving market dynamics.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Key Drivers of Growth</w:t>
      </w:r>
    </w:p>
    <w:p w:rsidR="00476814" w:rsidRPr="00476814" w:rsidRDefault="00476814" w:rsidP="00476814">
      <w:pPr>
        <w:numPr>
          <w:ilvl w:val="0"/>
          <w:numId w:val="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Digital Platforms and Information Flow</w:t>
      </w:r>
      <w:r w:rsidRPr="00476814">
        <w:rPr>
          <w:rFonts w:ascii="Segoe UI" w:eastAsia="Times New Roman" w:hAnsi="Segoe UI" w:cs="Segoe UI"/>
          <w:sz w:val="23"/>
          <w:szCs w:val="23"/>
        </w:rPr>
        <w:t>: The rise of digital platforms and a massive increase in the speed of information flow have been fundamental drivers of online commerce, with effects particularly evident in sports betting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Technological Advancements</w:t>
      </w:r>
      <w:r w:rsidRPr="00476814">
        <w:rPr>
          <w:rFonts w:ascii="Segoe UI" w:eastAsia="Times New Roman" w:hAnsi="Segoe UI" w:cs="Segoe UI"/>
          <w:sz w:val="23"/>
          <w:szCs w:val="23"/>
        </w:rPr>
        <w:t>: Technological advancements have made online betting more accessible, especially for demographics like young men who have become more prominent online bettors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Mobile Applications</w:t>
      </w:r>
      <w:r w:rsidRPr="00476814">
        <w:rPr>
          <w:rFonts w:ascii="Segoe UI" w:eastAsia="Times New Roman" w:hAnsi="Segoe UI" w:cs="Segoe UI"/>
          <w:sz w:val="23"/>
          <w:szCs w:val="23"/>
        </w:rPr>
        <w:t>: Mobile apps have further facilitated growth by offering convenient, on-the-go access to betting markets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Internet as a Catalyst</w:t>
      </w:r>
      <w:r w:rsidRPr="00476814">
        <w:rPr>
          <w:rFonts w:ascii="Segoe UI" w:eastAsia="Times New Roman" w:hAnsi="Segoe UI" w:cs="Segoe UI"/>
          <w:sz w:val="23"/>
          <w:szCs w:val="23"/>
        </w:rPr>
        <w:t>: The internet has been a catalyst for the rapid rise of in-play betting, which now constitutes a majority of online betting turnover, leading to the emergence of numerous new bookmakers and betting exchanges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Global Events</w:t>
      </w:r>
      <w:r w:rsidRPr="00476814">
        <w:rPr>
          <w:rFonts w:ascii="Segoe UI" w:eastAsia="Times New Roman" w:hAnsi="Segoe UI" w:cs="Segoe UI"/>
          <w:sz w:val="23"/>
          <w:szCs w:val="23"/>
        </w:rPr>
        <w:t>: Global events, such as the COVID-19 pandemic, have intensified the surge in online betting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Global Proliferation and Legal Changes</w:t>
      </w:r>
      <w:r w:rsidRPr="00476814">
        <w:rPr>
          <w:rFonts w:ascii="Segoe UI" w:eastAsia="Times New Roman" w:hAnsi="Segoe UI" w:cs="Segoe UI"/>
          <w:sz w:val="23"/>
          <w:szCs w:val="23"/>
        </w:rPr>
        <w:t>: Between 2015 and 2019, there was a global proliferation of online betting platforms and legal changes, which led to deeper investigations into the societal and emotional consequences of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Characteristics of Growth</w:t>
      </w:r>
    </w:p>
    <w:p w:rsidR="00476814" w:rsidRPr="00476814" w:rsidRDefault="00476814" w:rsidP="00476814">
      <w:pPr>
        <w:numPr>
          <w:ilvl w:val="0"/>
          <w:numId w:val="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Increased Betting Frequency</w:t>
      </w:r>
      <w:r w:rsidRPr="00476814">
        <w:rPr>
          <w:rFonts w:ascii="Segoe UI" w:eastAsia="Times New Roman" w:hAnsi="Segoe UI" w:cs="Segoe UI"/>
          <w:sz w:val="23"/>
          <w:szCs w:val="23"/>
        </w:rPr>
        <w:t>: Online betting allows consumers to place bets closer to the start of an event or outside traditional venue hours, thereby increasing potential betting frequency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Diverse Betting Markets</w:t>
      </w:r>
      <w:r w:rsidRPr="00476814">
        <w:rPr>
          <w:rFonts w:ascii="Segoe UI" w:eastAsia="Times New Roman" w:hAnsi="Segoe UI" w:cs="Segoe UI"/>
          <w:sz w:val="23"/>
          <w:szCs w:val="23"/>
        </w:rPr>
        <w:t>: The market has expanded to include bets on youth games in football globally and active betting markets for e-sports, particularly popular in Asia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Market Study</w:t>
      </w:r>
      <w:r w:rsidRPr="00476814">
        <w:rPr>
          <w:rFonts w:ascii="Segoe UI" w:eastAsia="Times New Roman" w:hAnsi="Segoe UI" w:cs="Segoe UI"/>
          <w:sz w:val="23"/>
          <w:szCs w:val="23"/>
        </w:rPr>
        <w:t>: The online betting market for English professional football match results alone saw extensive activity, with studies covering 16,000 matches between 2010 and 2018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Associated Impacts and Challenges</w:t>
      </w:r>
    </w:p>
    <w:p w:rsidR="00476814" w:rsidRPr="00476814" w:rsidRDefault="00476814" w:rsidP="00476814">
      <w:pPr>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Societal Awareness</w:t>
      </w:r>
      <w:r w:rsidRPr="00476814">
        <w:rPr>
          <w:rFonts w:ascii="Segoe UI" w:eastAsia="Times New Roman" w:hAnsi="Segoe UI" w:cs="Segoe UI"/>
          <w:sz w:val="23"/>
          <w:szCs w:val="23"/>
        </w:rPr>
        <w:t>: The growth has been accompanied by heightened societal awareness of the consequences of online betting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lastRenderedPageBreak/>
        <w:t>Psychological Challenges</w:t>
      </w:r>
      <w:r w:rsidRPr="00476814">
        <w:rPr>
          <w:rFonts w:ascii="Segoe UI" w:eastAsia="Times New Roman" w:hAnsi="Segoe UI" w:cs="Segoe UI"/>
          <w:sz w:val="23"/>
          <w:szCs w:val="23"/>
        </w:rPr>
        <w:t>: The period of growth also marked the beginning of recognizing the psychological challenges posed by online betting environments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Potential for Illicit Activities</w:t>
      </w:r>
      <w:r w:rsidRPr="00476814">
        <w:rPr>
          <w:rFonts w:ascii="Segoe UI" w:eastAsia="Times New Roman" w:hAnsi="Segoe UI" w:cs="Segoe UI"/>
          <w:sz w:val="23"/>
          <w:szCs w:val="23"/>
        </w:rPr>
        <w:t>: Online gambling has opened doors for entrepreneurs to engage in fraud, theft, extortion, and money laundering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In summary, the growth of online betting is a multifaceted phenomenon driven by technological innovation and global accessibility, leading to expanded markets and increased participation, but also bringing to light significant societal and psychological challenges.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Regulatory Framework and Legal Context of Gambling</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The regulatory framework and legal context surrounding gambling are complex, with significant variations across different jurisdictions and a need for ongoing evolution to address new challenges, particularly in the digital realm.</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General Regulatory Principles</w:t>
      </w:r>
    </w:p>
    <w:p w:rsidR="00476814" w:rsidRPr="00476814" w:rsidRDefault="00476814" w:rsidP="00476814">
      <w:pPr>
        <w:numPr>
          <w:ilvl w:val="0"/>
          <w:numId w:val="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Evolution of Frameworks</w:t>
      </w:r>
      <w:r w:rsidRPr="00476814">
        <w:rPr>
          <w:rFonts w:ascii="Segoe UI" w:eastAsia="Times New Roman" w:hAnsi="Segoe UI" w:cs="Segoe UI"/>
          <w:sz w:val="23"/>
          <w:szCs w:val="23"/>
        </w:rPr>
        <w:t>: Regulatory frameworks must adapt to new issues, balancing innovation with responsible gambling practices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Societal Influence</w:t>
      </w:r>
      <w:r w:rsidRPr="00476814">
        <w:rPr>
          <w:rFonts w:ascii="Segoe UI" w:eastAsia="Times New Roman" w:hAnsi="Segoe UI" w:cs="Segoe UI"/>
          <w:sz w:val="23"/>
          <w:szCs w:val="23"/>
        </w:rPr>
        <w:t>: Understanding how societal attitudes and legal frameworks interact is crucial for comprehending gambling behaviors and their associated emotional and psychological responses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International and Regional Examples</w:t>
      </w:r>
    </w:p>
    <w:p w:rsidR="00476814" w:rsidRPr="00476814" w:rsidRDefault="00476814" w:rsidP="00476814">
      <w:pPr>
        <w:numPr>
          <w:ilvl w:val="0"/>
          <w:numId w:val="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United Kingdom and Australia</w:t>
      </w:r>
      <w:r w:rsidRPr="00476814">
        <w:rPr>
          <w:rFonts w:ascii="Segoe UI" w:eastAsia="Times New Roman" w:hAnsi="Segoe UI" w:cs="Segoe UI"/>
          <w:sz w:val="23"/>
          <w:szCs w:val="23"/>
        </w:rPr>
        <w:t>: These countries have established regulatory frameworks that can offer insights into different approaches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India's Context</w:t>
      </w:r>
      <w:r w:rsidRPr="00476814">
        <w:rPr>
          <w:rFonts w:ascii="Segoe UI" w:eastAsia="Times New Roman" w:hAnsi="Segoe UI" w:cs="Segoe UI"/>
          <w:sz w:val="23"/>
          <w:szCs w:val="23"/>
        </w:rPr>
        <w:t>: India's regulatory system needs to be customized to address local challenges while integrating global best practices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Laws and Regulations in India</w:t>
      </w:r>
    </w:p>
    <w:p w:rsidR="00476814" w:rsidRPr="00476814" w:rsidRDefault="00476814" w:rsidP="00476814">
      <w:pPr>
        <w:numPr>
          <w:ilvl w:val="0"/>
          <w:numId w:val="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State Autonomy</w:t>
      </w:r>
      <w:r w:rsidRPr="00476814">
        <w:rPr>
          <w:rFonts w:ascii="Segoe UI" w:eastAsia="Times New Roman" w:hAnsi="Segoe UI" w:cs="Segoe UI"/>
          <w:sz w:val="23"/>
          <w:szCs w:val="23"/>
        </w:rPr>
        <w:t>: In India, individual states largely determine their gambling regulations, leading to diverse laws across the country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Indian Constitution's seventeenth schedule grants state governments full control over betting and gambling practices, allowing them to formulate state-specific laws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Online Gambling Loopholes</w:t>
      </w:r>
      <w:r w:rsidRPr="00476814">
        <w:rPr>
          <w:rFonts w:ascii="Segoe UI" w:eastAsia="Times New Roman" w:hAnsi="Segoe UI" w:cs="Segoe UI"/>
          <w:sz w:val="23"/>
          <w:szCs w:val="23"/>
        </w:rPr>
        <w:t>: Historically, online gambling has often existed outside formal laws, creating loopholes for gaming apps and betting websites, which contributed to a rise in users in 2020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1"/>
          <w:numId w:val="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lastRenderedPageBreak/>
        <w:t>The absence of specific provisions related to online gambling in acts that prohibit other gambling activities, such as in Goa, creates a loophole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1"/>
          <w:numId w:val="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Some acts prohibit online gambling and prescribe penalties like fines or imprisonment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Games of Skill vs. Chance</w:t>
      </w:r>
      <w:r w:rsidRPr="00476814">
        <w:rPr>
          <w:rFonts w:ascii="Segoe UI" w:eastAsia="Times New Roman" w:hAnsi="Segoe UI" w:cs="Segoe UI"/>
          <w:sz w:val="23"/>
          <w:szCs w:val="23"/>
        </w:rPr>
        <w:t>: Horse racing, for instance, is often excluded from acts like the Public Gambling Act of 1867 because it has been ruled a game of skill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Playing games of skill online is generally considered permissible until regulations officially change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Specific State Laws</w:t>
      </w:r>
      <w:r w:rsidRPr="00476814">
        <w:rPr>
          <w:rFonts w:ascii="Segoe UI" w:eastAsia="Times New Roman" w:hAnsi="Segoe UI" w:cs="Segoe UI"/>
          <w:sz w:val="23"/>
          <w:szCs w:val="23"/>
        </w:rPr>
        <w:t>: While gambling is a popular pastime in India, laws vary by state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For example, the Kerala Gaming Act of 1960 might soon include online gambling within its purview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Finding legal gambling houses for real money can be difficult in some states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Impact of the Pandemic</w:t>
      </w:r>
      <w:r w:rsidRPr="00476814">
        <w:rPr>
          <w:rFonts w:ascii="Segoe UI" w:eastAsia="Times New Roman" w:hAnsi="Segoe UI" w:cs="Segoe UI"/>
          <w:sz w:val="23"/>
          <w:szCs w:val="23"/>
        </w:rPr>
        <w:t>: The pandemic and associated lockdowns facilitated the growth of real-money gaming apps, providing comfort to people confined at home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In conclusion, the legal landscape for gambling is highly fragmented, especially in countries like India where state-level autonomy leads to varied regulations. The rise of online gambling has highlighted the need for regulatory frameworks to evolve and address new technological advancements, balancing consumer protection with industry innovation.</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 xml:space="preserve">Cultural Attitudes </w:t>
      </w:r>
      <w:proofErr w:type="gramStart"/>
      <w:r w:rsidRPr="00476814">
        <w:rPr>
          <w:rFonts w:ascii="Segoe UI" w:eastAsia="Times New Roman" w:hAnsi="Segoe UI" w:cs="Segoe UI"/>
          <w:b/>
          <w:bCs/>
          <w:sz w:val="30"/>
          <w:szCs w:val="30"/>
        </w:rPr>
        <w:t>Towards</w:t>
      </w:r>
      <w:proofErr w:type="gramEnd"/>
      <w:r w:rsidRPr="00476814">
        <w:rPr>
          <w:rFonts w:ascii="Segoe UI" w:eastAsia="Times New Roman" w:hAnsi="Segoe UI" w:cs="Segoe UI"/>
          <w:b/>
          <w:bCs/>
          <w:sz w:val="30"/>
          <w:szCs w:val="30"/>
        </w:rPr>
        <w:t xml:space="preserve"> Betting</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Cultural attitudes significantly shape perceptions and practices related to betting, ranging from negative views to normalization, and influencing societal responses and regulatory needs.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Diverse Cultural Perceptions of Gambling</w:t>
      </w:r>
    </w:p>
    <w:p w:rsidR="00476814" w:rsidRPr="00476814" w:rsidRDefault="00476814" w:rsidP="00476814">
      <w:pPr>
        <w:numPr>
          <w:ilvl w:val="0"/>
          <w:numId w:val="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Some cultures view sports gambling negatively, while others consider it normal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This dichotomy highlights the importance of understanding how societal attitudes and legal frameworks impact gambling behaviors and associated emotional and psychological responses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Cultural and religious sentiments often portray gambling as a vice, leading to resistance against its legalization, such as with cricket betting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The pervasive advertising and cultural normalization of gambling present significant challenges, necessitating efforts to regulate and mitigate harm, like the SAFE Bet Act for consumer protection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Societal Impacts and Concerns</w:t>
      </w:r>
    </w:p>
    <w:p w:rsidR="00476814" w:rsidRPr="00476814" w:rsidRDefault="00476814" w:rsidP="00476814">
      <w:pPr>
        <w:numPr>
          <w:ilvl w:val="0"/>
          <w:numId w:val="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Widespread access to betting can have severe social consequences, including domestic violence and financial distress due to gambling debts, potentially ruining lives and impacting families and communities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lastRenderedPageBreak/>
        <w:t>To address concerns arising from cultural and religious sentiments that view gambling as a vice, extensive public consultations and awareness campaigns are needed, especially when considering the legalization of betting activities like cricket betting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Future Research on Cross-Cultural Factors</w:t>
      </w:r>
    </w:p>
    <w:p w:rsidR="00476814" w:rsidRPr="00476814" w:rsidRDefault="00476814" w:rsidP="00476814">
      <w:pPr>
        <w:numPr>
          <w:ilvl w:val="0"/>
          <w:numId w:val="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Future research needs to explore cross-cultural factors in online sports betting to evaluate how cultural norms shape both risk and protective measures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It is crucial for future studies to include a more diverse range of research to capture the variations in gambling behaviors across different cultures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In summary, cultural attitudes towards betting are complex and varied, influencing everything from societal acceptance and legal frameworks to individual behaviors and the need for targeted research and public engagement.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Impact on Consumer Behavior in Gambling</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Consumer behavior, particularly in the context of gambling, is influenced by a multitude of factors, ranging from advertising attributes and brand perceptions to psychological impacts and incentives. Understanding these influences is crucial for both industry practices and public awareness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Influencing Factors on Gambling Intentions and Behavior</w:t>
      </w:r>
    </w:p>
    <w:p w:rsidR="00476814" w:rsidRPr="00476814" w:rsidRDefault="00476814" w:rsidP="00476814">
      <w:pPr>
        <w:numPr>
          <w:ilvl w:val="0"/>
          <w:numId w:val="1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Advertising Attributes</w:t>
      </w:r>
      <w:r w:rsidRPr="00476814">
        <w:rPr>
          <w:rFonts w:ascii="Segoe UI" w:eastAsia="Times New Roman" w:hAnsi="Segoe UI" w:cs="Segoe UI"/>
          <w:sz w:val="23"/>
          <w:szCs w:val="23"/>
        </w:rPr>
        <w:t>: Advertising attributes have a significant impact on gambling intentions, with one study indicating they have the highest impact (β = 0.648) among several variables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integration of gambling advertising into sports broadcasts can significantly increase betting intentions, especially among problem gamblers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element of enjoyment portrayed in advertisements can also contribute to problematic gambling behaviors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Celebrity-Brand Congruency</w:t>
      </w:r>
      <w:r w:rsidRPr="00476814">
        <w:rPr>
          <w:rFonts w:ascii="Segoe UI" w:eastAsia="Times New Roman" w:hAnsi="Segoe UI" w:cs="Segoe UI"/>
          <w:sz w:val="23"/>
          <w:szCs w:val="23"/>
        </w:rPr>
        <w:t>: The alignment between a celebrity and a brand positively influences gambling intentions (β = 0.254)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inclusion of a celebrity in an advertisement can improve intention by 6.4%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 xml:space="preserve">Attitude </w:t>
      </w:r>
      <w:proofErr w:type="gramStart"/>
      <w:r w:rsidRPr="00476814">
        <w:rPr>
          <w:rFonts w:ascii="Segoe UI" w:eastAsia="Times New Roman" w:hAnsi="Segoe UI" w:cs="Segoe UI"/>
          <w:b/>
          <w:bCs/>
          <w:sz w:val="23"/>
          <w:szCs w:val="23"/>
          <w:bdr w:val="single" w:sz="2" w:space="0" w:color="E4E6E8" w:frame="1"/>
        </w:rPr>
        <w:t>Towards</w:t>
      </w:r>
      <w:proofErr w:type="gramEnd"/>
      <w:r w:rsidRPr="00476814">
        <w:rPr>
          <w:rFonts w:ascii="Segoe UI" w:eastAsia="Times New Roman" w:hAnsi="Segoe UI" w:cs="Segoe UI"/>
          <w:b/>
          <w:bCs/>
          <w:sz w:val="23"/>
          <w:szCs w:val="23"/>
          <w:bdr w:val="single" w:sz="2" w:space="0" w:color="E4E6E8" w:frame="1"/>
        </w:rPr>
        <w:t xml:space="preserve"> Advertisement and Brand</w:t>
      </w:r>
      <w:r w:rsidRPr="00476814">
        <w:rPr>
          <w:rFonts w:ascii="Segoe UI" w:eastAsia="Times New Roman" w:hAnsi="Segoe UI" w:cs="Segoe UI"/>
          <w:sz w:val="23"/>
          <w:szCs w:val="23"/>
        </w:rPr>
        <w:t>: Both attitude towards the advertisement (β = 0.176) and attitude towards the brand (β = 0.152) positively impact gambling intentions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Brand perceptions profoundly influence individuals' gambling behaviors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and customer satisfaction with the brand and advertising are also affected by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Previous studies have also linked attitudes toward gambling with gambling behaviors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Gambling Inducements and Incentives</w:t>
      </w:r>
      <w:r w:rsidRPr="00476814">
        <w:rPr>
          <w:rFonts w:ascii="Segoe UI" w:eastAsia="Times New Roman" w:hAnsi="Segoe UI" w:cs="Segoe UI"/>
          <w:sz w:val="23"/>
          <w:szCs w:val="23"/>
        </w:rPr>
        <w:t>: Inducements can alter risk-based gambling choices, potentially leading to increased spending and irrational purchases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xml:space="preserve">. Betting </w:t>
      </w:r>
      <w:r w:rsidRPr="00476814">
        <w:rPr>
          <w:rFonts w:ascii="Segoe UI" w:eastAsia="Times New Roman" w:hAnsi="Segoe UI" w:cs="Segoe UI"/>
          <w:sz w:val="23"/>
          <w:szCs w:val="23"/>
        </w:rPr>
        <w:lastRenderedPageBreak/>
        <w:t>incentives, which offer extra value to consumers, can cause people to select riskier bets and lead to higher consumption based on microeconomic theory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Psychological and Emotional Factors</w:t>
      </w:r>
      <w:r w:rsidRPr="00476814">
        <w:rPr>
          <w:rFonts w:ascii="Segoe UI" w:eastAsia="Times New Roman" w:hAnsi="Segoe UI" w:cs="Segoe UI"/>
          <w:sz w:val="23"/>
          <w:szCs w:val="23"/>
        </w:rPr>
        <w:t>: The design of advertising and how it psychologically affects individuals contributes to understanding its influence on decision-making and addiction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Varied emotional involvement across bettor segments can affect gambling behaviors and risks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COVID-19 pandemic and technological advancements have also influenced research focus on the psychological impacts of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Electronic Word-of-Mouth (</w:t>
      </w:r>
      <w:proofErr w:type="spellStart"/>
      <w:r w:rsidRPr="00476814">
        <w:rPr>
          <w:rFonts w:ascii="Segoe UI" w:eastAsia="Times New Roman" w:hAnsi="Segoe UI" w:cs="Segoe UI"/>
          <w:b/>
          <w:bCs/>
          <w:sz w:val="23"/>
          <w:szCs w:val="23"/>
          <w:bdr w:val="single" w:sz="2" w:space="0" w:color="E4E6E8" w:frame="1"/>
        </w:rPr>
        <w:t>eWOM</w:t>
      </w:r>
      <w:proofErr w:type="spellEnd"/>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xml:space="preserve">: Sentiment analysis has been utilized to evaluate the impact of </w:t>
      </w:r>
      <w:proofErr w:type="spellStart"/>
      <w:r w:rsidRPr="00476814">
        <w:rPr>
          <w:rFonts w:ascii="Segoe UI" w:eastAsia="Times New Roman" w:hAnsi="Segoe UI" w:cs="Segoe UI"/>
          <w:sz w:val="23"/>
          <w:szCs w:val="23"/>
        </w:rPr>
        <w:t>eWOM</w:t>
      </w:r>
      <w:proofErr w:type="spellEnd"/>
      <w:r w:rsidRPr="00476814">
        <w:rPr>
          <w:rFonts w:ascii="Segoe UI" w:eastAsia="Times New Roman" w:hAnsi="Segoe UI" w:cs="Segoe UI"/>
          <w:sz w:val="23"/>
          <w:szCs w:val="23"/>
        </w:rPr>
        <w:t xml:space="preserve"> on consumers, indicating its role in shaping consumer perceptions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Research Approaches and Future Directions</w:t>
      </w:r>
    </w:p>
    <w:p w:rsidR="00476814" w:rsidRPr="00476814" w:rsidRDefault="00476814" w:rsidP="00476814">
      <w:pPr>
        <w:numPr>
          <w:ilvl w:val="0"/>
          <w:numId w:val="1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Methodologies</w:t>
      </w:r>
      <w:r w:rsidRPr="00476814">
        <w:rPr>
          <w:rFonts w:ascii="Segoe UI" w:eastAsia="Times New Roman" w:hAnsi="Segoe UI" w:cs="Segoe UI"/>
          <w:sz w:val="23"/>
          <w:szCs w:val="23"/>
        </w:rPr>
        <w:t>: Studies employ mixed methods, including quantitative analysis like multiple regression, to understand the impact of independent variables on consumer intentions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Both qualitative and quantitative methods are used to determine influences on gambling behaviors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Discussion platforms like Reddit offer insights into first-hand consumer understanding of problematic and non-problematic behaviors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Longitudinal Studies</w:t>
      </w:r>
      <w:r w:rsidRPr="00476814">
        <w:rPr>
          <w:rFonts w:ascii="Segoe UI" w:eastAsia="Times New Roman" w:hAnsi="Segoe UI" w:cs="Segoe UI"/>
          <w:sz w:val="23"/>
          <w:szCs w:val="23"/>
        </w:rPr>
        <w:t>: As consumer behavior matures for specific products, longitudinal studies can help track changes in behavior over time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Overall, consumer behavior in gambling is a complex area influenced by marketing strategies, brand perceptions, psychological elements, and incentives, highlighting the need for continued research and awareness to mitigate excessive behavior.</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Economic Models of Betting and Manipulation</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Economic models of betting and manipulation often employ sophisticated systems to detect abnormal or suspicious betting patterns, frequently utilizing machine learning and ensemble approaches.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Betting Model Architecture and Operation</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Betting models are designed to assess situations by combining insights from various sub-models to categorize outcomes. The decision-making process often relies on a consensus mechanism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Input and Processing</w:t>
      </w:r>
      <w:r w:rsidRPr="00476814">
        <w:rPr>
          <w:rFonts w:ascii="Segoe UI" w:eastAsia="Times New Roman" w:hAnsi="Segoe UI" w:cs="Segoe UI"/>
          <w:sz w:val="23"/>
          <w:szCs w:val="23"/>
        </w:rPr>
        <w:t>: Odds data for a single match is typically fed into multiple models, often five in total. These include four individual machine learning models and one ensemble model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lastRenderedPageBreak/>
        <w:t>Ensemble Approach</w:t>
      </w:r>
      <w:r w:rsidRPr="00476814">
        <w:rPr>
          <w:rFonts w:ascii="Segoe UI" w:eastAsia="Times New Roman" w:hAnsi="Segoe UI" w:cs="Segoe UI"/>
          <w:sz w:val="23"/>
          <w:szCs w:val="23"/>
        </w:rPr>
        <w:t>: Instead of relying solely on individual machine-learning models, an ensemble model is often created by aggregating their parameters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xml:space="preserve">. This ensemble approach integrates input from multiple sources, with each </w:t>
      </w:r>
      <w:proofErr w:type="spellStart"/>
      <w:r w:rsidRPr="00476814">
        <w:rPr>
          <w:rFonts w:ascii="Segoe UI" w:eastAsia="Times New Roman" w:hAnsi="Segoe UI" w:cs="Segoe UI"/>
          <w:sz w:val="23"/>
          <w:szCs w:val="23"/>
        </w:rPr>
        <w:t>submodel</w:t>
      </w:r>
      <w:proofErr w:type="spellEnd"/>
      <w:r w:rsidRPr="00476814">
        <w:rPr>
          <w:rFonts w:ascii="Segoe UI" w:eastAsia="Times New Roman" w:hAnsi="Segoe UI" w:cs="Segoe UI"/>
          <w:sz w:val="23"/>
          <w:szCs w:val="23"/>
        </w:rPr>
        <w:t xml:space="preserve"> specializing in a specific data type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Classification</w:t>
      </w:r>
      <w:r w:rsidRPr="00476814">
        <w:rPr>
          <w:rFonts w:ascii="Segoe UI" w:eastAsia="Times New Roman" w:hAnsi="Segoe UI" w:cs="Segoe UI"/>
          <w:sz w:val="23"/>
          <w:szCs w:val="23"/>
        </w:rPr>
        <w:t>: Each of the five models judges the input as either 'normal' or 'abnormal'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system then pools these predictions through a voting mechanism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Outcome Categories</w:t>
      </w:r>
      <w:r w:rsidRPr="00476814">
        <w:rPr>
          <w:rFonts w:ascii="Segoe UI" w:eastAsia="Times New Roman" w:hAnsi="Segoe UI" w:cs="Segoe UI"/>
          <w:sz w:val="23"/>
          <w:szCs w:val="23"/>
        </w:rPr>
        <w:t>: Based on the collective consensus or the number of models flagging an event as suspicious, games are categorized into three distinct patterns: 'normal,' 'warning,' or 'abnormal'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If a majority of sub-models flag an event as suspicious, it is labeled 'abnormal'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Pattern Identification</w:t>
      </w:r>
      <w:r w:rsidRPr="00476814">
        <w:rPr>
          <w:rFonts w:ascii="Segoe UI" w:eastAsia="Times New Roman" w:hAnsi="Segoe UI" w:cs="Segoe UI"/>
          <w:sz w:val="23"/>
          <w:szCs w:val="23"/>
        </w:rPr>
        <w:t>: These models identify patterns associated with abnormal matches, allowing them to distinguish between normal and abnormal labels within the dataset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A specific pattern of odds in soccer matches can serve as a model variable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Examples of Manipulation Detection</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One example of detected manipulation involves a tennis match where the pre-match underdog, Player 1, became more likely to win as events unfolded. The odds implied by the model shortened, indicating a suspicious shift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Practical Challenges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While profitable simulations using these strategies have been reported, realizing these profits in practice can be difficult. Authors have noted that their betting accounts were frequently closed by operators, making it hard to sustain the strategy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In summary, economic models for betting and manipulation leverage multiple machine learning models and ensemble techniques to analyze betting patterns and classify events as normal, warning, or abnormal based on a consensus mechanism, though practical application can face operational hurdles.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Revenue Generation for Operators and Consumer Losses in Wagering</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Wagering operators employ specific strategies to generate revenue, often by promoting complex and risky bets that can lead to increased losses for consumers. These strategies exploit bettors' difficulties in calculating odds and understanding the true value of certain inducements.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Operator Strategies for Revenue Generation</w:t>
      </w:r>
    </w:p>
    <w:p w:rsidR="00476814" w:rsidRPr="00476814" w:rsidRDefault="00476814" w:rsidP="00476814">
      <w:pPr>
        <w:numPr>
          <w:ilvl w:val="0"/>
          <w:numId w:val="1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lastRenderedPageBreak/>
        <w:t>Promotion of Complex and Risky Bets</w:t>
      </w:r>
      <w:r w:rsidRPr="00476814">
        <w:rPr>
          <w:rFonts w:ascii="Segoe UI" w:eastAsia="Times New Roman" w:hAnsi="Segoe UI" w:cs="Segoe UI"/>
          <w:sz w:val="23"/>
          <w:szCs w:val="23"/>
        </w:rPr>
        <w:t>: Operators tend to promote and incentivize combined contingencies, which bettors find difficult to calculate and are poorly priced relative to their long odds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These complex bets, whose odds are hard to estimate, and risky bets, which have low odds of winning, are associated with increased gambling losses for consumers and higher profits for operators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Exploiting Pricing Discrepancies</w:t>
      </w:r>
      <w:r w:rsidRPr="00476814">
        <w:rPr>
          <w:rFonts w:ascii="Segoe UI" w:eastAsia="Times New Roman" w:hAnsi="Segoe UI" w:cs="Segoe UI"/>
          <w:sz w:val="23"/>
          <w:szCs w:val="23"/>
        </w:rPr>
        <w:t>: If incentivized products are not actuarially priced well compared to non-incentivized bets, this enables a greater net transfer of wealth from gamblers to gambling operators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Closing Profitable Accounts</w:t>
      </w:r>
      <w:r w:rsidRPr="00476814">
        <w:rPr>
          <w:rFonts w:ascii="Segoe UI" w:eastAsia="Times New Roman" w:hAnsi="Segoe UI" w:cs="Segoe UI"/>
          <w:sz w:val="23"/>
          <w:szCs w:val="23"/>
        </w:rPr>
        <w:t>: Operators have been known to close betting accounts of individuals who employ profitable strategies, making it difficult for skilled bettors to realize profits in practice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Mechanisms Leading to Consumer Losses</w:t>
      </w:r>
    </w:p>
    <w:p w:rsidR="00476814" w:rsidRPr="00476814" w:rsidRDefault="00476814" w:rsidP="00476814">
      <w:pPr>
        <w:numPr>
          <w:ilvl w:val="0"/>
          <w:numId w:val="1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Difficulty in Calculating Odds</w:t>
      </w:r>
      <w:r w:rsidRPr="00476814">
        <w:rPr>
          <w:rFonts w:ascii="Segoe UI" w:eastAsia="Times New Roman" w:hAnsi="Segoe UI" w:cs="Segoe UI"/>
          <w:sz w:val="23"/>
          <w:szCs w:val="23"/>
        </w:rPr>
        <w:t>: Bettors struggle to calculate the true odds of combined contingencies, which are often poorly priced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This difficulty contributes to consumers making less informed betting decisions.</w:t>
      </w:r>
    </w:p>
    <w:p w:rsidR="00476814" w:rsidRPr="00476814" w:rsidRDefault="00476814" w:rsidP="00476814">
      <w:pPr>
        <w:numPr>
          <w:ilvl w:val="0"/>
          <w:numId w:val="1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"Losses Disguised as Wins"</w:t>
      </w:r>
      <w:r w:rsidRPr="00476814">
        <w:rPr>
          <w:rFonts w:ascii="Segoe UI" w:eastAsia="Times New Roman" w:hAnsi="Segoe UI" w:cs="Segoe UI"/>
          <w:sz w:val="23"/>
          <w:szCs w:val="23"/>
        </w:rPr>
        <w:t>: This structural characteristic, particularly in electronic gaming machines (EGMs) and potentially in sports betting, can make a net loss feel like a win. For example, a bettor might wager </w:t>
      </w:r>
      <w:r w:rsidRPr="00476814">
        <w:rPr>
          <w:rFonts w:ascii="Times New Roman" w:eastAsia="Times New Roman" w:hAnsi="Times New Roman" w:cs="Times New Roman"/>
          <w:sz w:val="28"/>
          <w:szCs w:val="28"/>
          <w:bdr w:val="none" w:sz="0" w:space="0" w:color="auto" w:frame="1"/>
        </w:rPr>
        <w:t>1,"win"</w:t>
      </w:r>
      <w:r w:rsidRPr="00476814">
        <w:rPr>
          <w:rFonts w:ascii="Times New Roman" w:eastAsia="Times New Roman" w:hAnsi="Times New Roman" w:cs="Times New Roman"/>
          <w:sz w:val="28"/>
          <w:szCs w:val="28"/>
          <w:bdr w:val="single" w:sz="2" w:space="0" w:color="E4E6E8" w:frame="1"/>
        </w:rPr>
        <w:t>1,"</w:t>
      </w:r>
      <w:r w:rsidRPr="00476814">
        <w:rPr>
          <w:rFonts w:ascii="KaTeX_Math" w:eastAsia="Times New Roman" w:hAnsi="KaTeX_Math" w:cs="Times New Roman"/>
          <w:i/>
          <w:iCs/>
          <w:sz w:val="28"/>
          <w:szCs w:val="28"/>
          <w:bdr w:val="single" w:sz="2" w:space="0" w:color="E4E6E8" w:frame="1"/>
        </w:rPr>
        <w:t>win</w:t>
      </w:r>
      <w:r w:rsidRPr="00476814">
        <w:rPr>
          <w:rFonts w:ascii="Times New Roman" w:eastAsia="Times New Roman" w:hAnsi="Times New Roman" w:cs="Times New Roman"/>
          <w:sz w:val="28"/>
          <w:szCs w:val="28"/>
          <w:bdr w:val="single" w:sz="2" w:space="0" w:color="E4E6E8" w:frame="1"/>
        </w:rPr>
        <w:t>"</w:t>
      </w:r>
      <w:r w:rsidRPr="00476814">
        <w:rPr>
          <w:rFonts w:ascii="Segoe UI" w:eastAsia="Times New Roman" w:hAnsi="Segoe UI" w:cs="Segoe UI"/>
          <w:sz w:val="23"/>
          <w:szCs w:val="23"/>
        </w:rPr>
        <w:t>0.50, resulting in a net loss of $0.50, while still receiving stimulating congratulatory feedback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A similar situation could occur when a sports bettor cashes out a bet to "win" less than their initial wager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Perceived Attractiveness of Inducements</w:t>
      </w:r>
      <w:r w:rsidRPr="00476814">
        <w:rPr>
          <w:rFonts w:ascii="Segoe UI" w:eastAsia="Times New Roman" w:hAnsi="Segoe UI" w:cs="Segoe UI"/>
          <w:sz w:val="23"/>
          <w:szCs w:val="23"/>
        </w:rPr>
        <w:t>: Bettors perceive all bets with inducements (e.g., bonus bets, better odds, reduced risk, cash rebates) as more attractive, viewing them as offering extra value from the operator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While seemingly beneficial, these inducements often lead to increased consumption without necessarily providing genuine long-term value.</w:t>
      </w:r>
    </w:p>
    <w:p w:rsidR="00476814" w:rsidRPr="00476814" w:rsidRDefault="00476814" w:rsidP="00476814">
      <w:pPr>
        <w:numPr>
          <w:ilvl w:val="0"/>
          <w:numId w:val="1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Economic Costs of Seeking Best Odds</w:t>
      </w:r>
      <w:r w:rsidRPr="00476814">
        <w:rPr>
          <w:rFonts w:ascii="Segoe UI" w:eastAsia="Times New Roman" w:hAnsi="Segoe UI" w:cs="Segoe UI"/>
          <w:sz w:val="23"/>
          <w:szCs w:val="23"/>
        </w:rPr>
        <w:t>: Bettors face small economic costs, such as time spent switching funds and attention between online accounts, when trying to find the best odds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This friction can deter them from always selecting the most favorable bets.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Regulatory Considerations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Research aims to understand the causal role of wagering inducements in sports betting to inform policies and regulations that reform their provision, marketing, and structural characteristics, ultimately seeking to mitigate harm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A well-designed regulatory model, focused on consumer protection, technological oversight, and responsible gambling, could transform the industry into a transparent and beneficial one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Such a legalized market would offer mechanisms to protect consumers from fraud and financial exploitation through transparent practices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lastRenderedPageBreak/>
        <w:t>In summary, wagering operators maximize revenue by promoting complex, risky, and often poorly priced bets, while consumers incur losses due to difficulties in assessing true odds, the deceptive nature of "losses disguised as wins," and the perceived attractiveness of inducements that may not offer real value. Effective regulation is crucial to protect consumers and ensure industry transparency.</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The Psychology of Gambling Addiction</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Gambling is defined as the act of placing a wager or staking something of worth on the outcome of a game or an unknown event, with an awareness of the inherent danger and a hope of financial gain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psychology of gambling addiction involves a complex interplay of emotional and psychological factors, alongside the mechanics of betting, which necessitates comprehensive scholarly review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Psychological and Emotional Factors</w:t>
      </w:r>
    </w:p>
    <w:p w:rsidR="00476814" w:rsidRPr="00476814" w:rsidRDefault="00476814" w:rsidP="00476814">
      <w:pPr>
        <w:numPr>
          <w:ilvl w:val="0"/>
          <w:numId w:val="1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Cognitive Distortions</w:t>
      </w:r>
      <w:r w:rsidRPr="00476814">
        <w:rPr>
          <w:rFonts w:ascii="Segoe UI" w:eastAsia="Times New Roman" w:hAnsi="Segoe UI" w:cs="Segoe UI"/>
          <w:sz w:val="23"/>
          <w:szCs w:val="23"/>
        </w:rPr>
        <w:t>: Addressing gambling-related cognitive distortions is crucial and requires increased intervention measures and a psychological understanding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Emotional Effects</w:t>
      </w:r>
      <w:r w:rsidRPr="00476814">
        <w:rPr>
          <w:rFonts w:ascii="Segoe UI" w:eastAsia="Times New Roman" w:hAnsi="Segoe UI" w:cs="Segoe UI"/>
          <w:sz w:val="23"/>
          <w:szCs w:val="23"/>
        </w:rPr>
        <w:t>: Research indicates the importance of understanding the emotional and psychological responses associated with gambling behaviors, influenced by societal attitudes and legal frameworks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Problem Gambling</w:t>
      </w:r>
      <w:r w:rsidRPr="00476814">
        <w:rPr>
          <w:rFonts w:ascii="Segoe UI" w:eastAsia="Times New Roman" w:hAnsi="Segoe UI" w:cs="Segoe UI"/>
          <w:sz w:val="23"/>
          <w:szCs w:val="23"/>
        </w:rPr>
        <w:t>: Research into cognitive and emotional processes, such as the roles of enthusiasm or regret, can enhance models of problem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severity of problem gambling can be a factor in decision-making, though one study's model fit for selection on a final game based on problem gambling severity was not statistically significant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Influences on Gambling Behavior</w:t>
      </w:r>
    </w:p>
    <w:p w:rsidR="00476814" w:rsidRPr="00476814" w:rsidRDefault="00476814" w:rsidP="00476814">
      <w:pPr>
        <w:numPr>
          <w:ilvl w:val="0"/>
          <w:numId w:val="1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Advertising</w:t>
      </w:r>
      <w:r w:rsidRPr="00476814">
        <w:rPr>
          <w:rFonts w:ascii="Segoe UI" w:eastAsia="Times New Roman" w:hAnsi="Segoe UI" w:cs="Segoe UI"/>
          <w:sz w:val="23"/>
          <w:szCs w:val="23"/>
        </w:rPr>
        <w:t xml:space="preserve">: How marketing strategies and advertising attributes (like creativity, enjoyment, and </w:t>
      </w:r>
      <w:proofErr w:type="spellStart"/>
      <w:r w:rsidRPr="00476814">
        <w:rPr>
          <w:rFonts w:ascii="Segoe UI" w:eastAsia="Times New Roman" w:hAnsi="Segoe UI" w:cs="Segoe UI"/>
          <w:sz w:val="23"/>
          <w:szCs w:val="23"/>
        </w:rPr>
        <w:t>informativeness</w:t>
      </w:r>
      <w:proofErr w:type="spellEnd"/>
      <w:r w:rsidRPr="00476814">
        <w:rPr>
          <w:rFonts w:ascii="Segoe UI" w:eastAsia="Times New Roman" w:hAnsi="Segoe UI" w:cs="Segoe UI"/>
          <w:sz w:val="23"/>
          <w:szCs w:val="23"/>
        </w:rPr>
        <w:t>) affect gambling behavior is a significant area of study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The psychological impact of advertising design on individuals contributes to understanding its influence on decision-making and addiction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Technology</w:t>
      </w:r>
      <w:r w:rsidRPr="00476814">
        <w:rPr>
          <w:rFonts w:ascii="Segoe UI" w:eastAsia="Times New Roman" w:hAnsi="Segoe UI" w:cs="Segoe UI"/>
          <w:sz w:val="23"/>
          <w:szCs w:val="23"/>
        </w:rPr>
        <w:t>: The evolution of technology, particularly mobile applications and in-play features, requires attention as elements like push notifications and live odds can heighten risk factors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Research and Intervention</w:t>
      </w:r>
    </w:p>
    <w:p w:rsidR="00476814" w:rsidRPr="00476814" w:rsidRDefault="00476814" w:rsidP="00476814">
      <w:pPr>
        <w:numPr>
          <w:ilvl w:val="0"/>
          <w:numId w:val="1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Leading Researchers</w:t>
      </w:r>
      <w:r w:rsidRPr="00476814">
        <w:rPr>
          <w:rFonts w:ascii="Segoe UI" w:eastAsia="Times New Roman" w:hAnsi="Segoe UI" w:cs="Segoe UI"/>
          <w:sz w:val="23"/>
          <w:szCs w:val="23"/>
        </w:rPr>
        <w:t xml:space="preserve">: Notable figures such as </w:t>
      </w:r>
      <w:proofErr w:type="spellStart"/>
      <w:r w:rsidRPr="00476814">
        <w:rPr>
          <w:rFonts w:ascii="Segoe UI" w:eastAsia="Times New Roman" w:hAnsi="Segoe UI" w:cs="Segoe UI"/>
          <w:sz w:val="23"/>
          <w:szCs w:val="23"/>
        </w:rPr>
        <w:t>Hing</w:t>
      </w:r>
      <w:proofErr w:type="spellEnd"/>
      <w:r w:rsidRPr="00476814">
        <w:rPr>
          <w:rFonts w:ascii="Segoe UI" w:eastAsia="Times New Roman" w:hAnsi="Segoe UI" w:cs="Segoe UI"/>
          <w:sz w:val="23"/>
          <w:szCs w:val="23"/>
        </w:rPr>
        <w:t xml:space="preserve"> N., Griffiths MD, and Lopez-Gonzalez H have significantly contributed to the field, covering addiction, risk behaviors, and the impact </w:t>
      </w:r>
      <w:r w:rsidRPr="00476814">
        <w:rPr>
          <w:rFonts w:ascii="Segoe UI" w:eastAsia="Times New Roman" w:hAnsi="Segoe UI" w:cs="Segoe UI"/>
          <w:sz w:val="23"/>
          <w:szCs w:val="23"/>
        </w:rPr>
        <w:lastRenderedPageBreak/>
        <w:t>of marketing strategies on gambling behavior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Several authors are recognized as leading influences in research concerning the psychological and regulatory consequences of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Interdisciplinary Approach</w:t>
      </w:r>
      <w:r w:rsidRPr="00476814">
        <w:rPr>
          <w:rFonts w:ascii="Segoe UI" w:eastAsia="Times New Roman" w:hAnsi="Segoe UI" w:cs="Segoe UI"/>
          <w:sz w:val="23"/>
          <w:szCs w:val="23"/>
        </w:rPr>
        <w:t>: The field is moving towards a more interdisciplinary approach to studying responses to gambling, with a growing number of collaborative publications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Intervention</w:t>
      </w:r>
      <w:r w:rsidRPr="00476814">
        <w:rPr>
          <w:rFonts w:ascii="Segoe UI" w:eastAsia="Times New Roman" w:hAnsi="Segoe UI" w:cs="Segoe UI"/>
          <w:sz w:val="23"/>
          <w:szCs w:val="23"/>
        </w:rPr>
        <w:t>: Increased intervention measures, understood from a psychological perspective, are necessary to tackle gambling-related cognitive distortions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Overall, the psychology of gambling addiction is a multifaceted area of study, encompassing cognitive, emotional, and behavioral aspects, influenced by external factors like marketing and technology, and requiring ongoing interdisciplinary research and targeted interventions.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Behavioral Economics and Decision-Making in Betting</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Behavioral economics plays a significant role in understanding decision-making in betting, particularly concerning how inducements and psychological factors influence bettors' choices and risk-taking behavior.</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Influence of Wagering Inducements</w:t>
      </w:r>
    </w:p>
    <w:p w:rsidR="00476814" w:rsidRPr="00476814" w:rsidRDefault="00476814" w:rsidP="00476814">
      <w:pPr>
        <w:numPr>
          <w:ilvl w:val="0"/>
          <w:numId w:val="1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Wagering inducements, such as promotions and incentives, are designed to increase consumption by offering greater value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Operators often promote combined contingencies, which bettors find difficult to calculate and are poorly priced relative to their long odds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Studies have analyzed bettors' exposure to these inducements, their characteristics, and their association with more impulsive betting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A specific study aimed to experimentally test if incentives cause gamblers to choose higher-risk bets (long odds) compared to un-incentivized bets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This study hypothesized that betting incentives might induce gamblers to take extra risks by selecting longer odds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The behavioral effects of inducements, such as choosing long odds when offered an incentive, are not unique to individuals with gambling problems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Risk-Taking and Psychological Factors</w:t>
      </w:r>
    </w:p>
    <w:p w:rsidR="00476814" w:rsidRPr="00476814" w:rsidRDefault="00476814" w:rsidP="00476814">
      <w:pPr>
        <w:numPr>
          <w:ilvl w:val="0"/>
          <w:numId w:val="1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Bettors' tendency to overestimate their skills and control over betting outcomes can foster a cycle of risk-taking, potentially leading to financial and emotional distress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Framing effects can significantly influence behavior in betting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lastRenderedPageBreak/>
        <w:t>The intersection of emotional and psychological factors with the mechanics of fantasy sports betting creates a complex landscape of human behavior that requires scholarly review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Bookmakers' profit strategies may enhance the emotional stakes for bettors, potentially leading to problematic behaviors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1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Public information campaigns can help mitigate harm by debunking common gambling myths like 'hot streaks' and 'near wins'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Experimental Design and Observations</w:t>
      </w:r>
    </w:p>
    <w:p w:rsidR="00476814" w:rsidRPr="00476814" w:rsidRDefault="00476814" w:rsidP="00476814">
      <w:pPr>
        <w:numPr>
          <w:ilvl w:val="0"/>
          <w:numId w:val="2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An online experiment was conducted with wagering customers to test the effects of incentives on risk-taking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In the experimental procedure, participants viewed evenly matched betting odds, placed bets, and were paid winnings across several games, including both inducement and no-inducement trials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sz w:val="23"/>
          <w:szCs w:val="23"/>
        </w:rPr>
        <w:t>An example of a bet involves winning </w:t>
      </w:r>
      <w:r w:rsidRPr="00476814">
        <w:rPr>
          <w:rFonts w:ascii="Times New Roman" w:eastAsia="Times New Roman" w:hAnsi="Times New Roman" w:cs="Times New Roman"/>
          <w:sz w:val="28"/>
          <w:szCs w:val="28"/>
          <w:bdr w:val="none" w:sz="0" w:space="0" w:color="auto" w:frame="1"/>
        </w:rPr>
        <w:t>1.80foreach</w:t>
      </w:r>
      <w:r w:rsidRPr="00476814">
        <w:rPr>
          <w:rFonts w:ascii="Times New Roman" w:eastAsia="Times New Roman" w:hAnsi="Times New Roman" w:cs="Times New Roman"/>
          <w:sz w:val="28"/>
          <w:szCs w:val="28"/>
          <w:bdr w:val="single" w:sz="2" w:space="0" w:color="E4E6E8" w:frame="1"/>
        </w:rPr>
        <w:t>1.80</w:t>
      </w:r>
      <w:r w:rsidRPr="00476814">
        <w:rPr>
          <w:rFonts w:ascii="KaTeX_Math" w:eastAsia="Times New Roman" w:hAnsi="KaTeX_Math" w:cs="Times New Roman"/>
          <w:i/>
          <w:iCs/>
          <w:sz w:val="28"/>
          <w:szCs w:val="28"/>
          <w:bdr w:val="single" w:sz="2" w:space="0" w:color="E4E6E8" w:frame="1"/>
        </w:rPr>
        <w:t>foreach</w:t>
      </w:r>
      <w:r w:rsidRPr="00476814">
        <w:rPr>
          <w:rFonts w:ascii="Segoe UI" w:eastAsia="Times New Roman" w:hAnsi="Segoe UI" w:cs="Segoe UI"/>
          <w:sz w:val="23"/>
          <w:szCs w:val="23"/>
        </w:rPr>
        <w:t>1 staked if there are 3 or more goals in a match, but losing if there are fewer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In summary, behavioral economics highlights how wagering inducements and various psychological factors, such as framing effects and overestimation of skill, significantly influence bettors' decision-making, often leading to increased risk-taking and potentially problematic behaviors. Experimental studies are crucial for understanding these complex interactions.</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476814">
        <w:rPr>
          <w:rFonts w:ascii="Segoe UI" w:eastAsia="Times New Roman" w:hAnsi="Segoe UI" w:cs="Segoe UI"/>
          <w:b/>
          <w:bCs/>
          <w:sz w:val="30"/>
          <w:szCs w:val="30"/>
        </w:rPr>
        <w:t>Gambling Disorders in India: Case Studies and Context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While the provided contexts discuss the prevalence of gambling and its associated issues in India, they offer limited explicit case studies on gambling disorders. However, they do highlight a specific study on online gambling addiction among college students in Kerala and provide broader insights into the challenges and regulatory landscape of gambling in the country.</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Specific Studies and Research</w:t>
      </w:r>
    </w:p>
    <w:p w:rsidR="00476814" w:rsidRPr="00476814" w:rsidRDefault="00476814" w:rsidP="00476814">
      <w:pPr>
        <w:numPr>
          <w:ilvl w:val="0"/>
          <w:numId w:val="2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Online Gambling Addiction in Kerala College Students</w:t>
      </w:r>
      <w:r w:rsidRPr="00476814">
        <w:rPr>
          <w:rFonts w:ascii="Segoe UI" w:eastAsia="Times New Roman" w:hAnsi="Segoe UI" w:cs="Segoe UI"/>
          <w:sz w:val="23"/>
          <w:szCs w:val="23"/>
        </w:rPr>
        <w:t>: One identified study focuses specifically on "Online Gambling Addiction: A Study among College Students of Kerala State, India"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This indicates research being conducted on gambling disorders within a specific demographic and region in India.</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Broader Context of Gambling in India</w:t>
      </w:r>
    </w:p>
    <w:p w:rsidR="00476814" w:rsidRPr="00476814" w:rsidRDefault="00476814" w:rsidP="00476814">
      <w:pPr>
        <w:numPr>
          <w:ilvl w:val="0"/>
          <w:numId w:val="2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lastRenderedPageBreak/>
        <w:t>Growing Online Gambling Sector</w:t>
      </w:r>
      <w:r w:rsidRPr="00476814">
        <w:rPr>
          <w:rFonts w:ascii="Segoe UI" w:eastAsia="Times New Roman" w:hAnsi="Segoe UI" w:cs="Segoe UI"/>
          <w:sz w:val="23"/>
          <w:szCs w:val="23"/>
        </w:rPr>
        <w:t>: The online gambling sector in India has seen significant expansion, making it crucial to understand the influences on gambling behaviors in the region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Brand perceptions, for instance, are noted to profoundly influence individuals' gambling behaviors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Illegal Betting Economy</w:t>
      </w:r>
      <w:r w:rsidRPr="00476814">
        <w:rPr>
          <w:rFonts w:ascii="Segoe UI" w:eastAsia="Times New Roman" w:hAnsi="Segoe UI" w:cs="Segoe UI"/>
          <w:sz w:val="23"/>
          <w:szCs w:val="23"/>
        </w:rPr>
        <w:t>: India's illegal betting economy is substantial, estimated at over ₹3 trillion (approximately $40 billion) annually. This illicit activity leads to societal costs like addiction and financial exploitation, and the government loses significant tax revenue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Motivation for Gambling</w:t>
      </w:r>
      <w:r w:rsidRPr="00476814">
        <w:rPr>
          <w:rFonts w:ascii="Segoe UI" w:eastAsia="Times New Roman" w:hAnsi="Segoe UI" w:cs="Segoe UI"/>
          <w:sz w:val="23"/>
          <w:szCs w:val="23"/>
        </w:rPr>
        <w:t>: Individuals sometimes turn to gambling prize money to meet social and financial needs, which can contribute to issues like money laundering and black money sources in India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Inadequate Legal Framework</w:t>
      </w:r>
      <w:r w:rsidRPr="00476814">
        <w:rPr>
          <w:rFonts w:ascii="Segoe UI" w:eastAsia="Times New Roman" w:hAnsi="Segoe UI" w:cs="Segoe UI"/>
          <w:sz w:val="23"/>
          <w:szCs w:val="23"/>
        </w:rPr>
        <w:t>: The current legal framework, primarily the Public Gambling Act of 1867, is insufficient to address modern betting practices, particularly online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While some legal aspects could be implemented for online gambling to complicate its use for illegal activities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11</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12</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betting and gambling fall under the state list, allowing state governments to formulate their own specific laws and exercise control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13</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14</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numPr>
          <w:ilvl w:val="0"/>
          <w:numId w:val="2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Need for Proactive Approach</w:t>
      </w:r>
      <w:r w:rsidRPr="00476814">
        <w:rPr>
          <w:rFonts w:ascii="Segoe UI" w:eastAsia="Times New Roman" w:hAnsi="Segoe UI" w:cs="Segoe UI"/>
          <w:sz w:val="23"/>
          <w:szCs w:val="23"/>
        </w:rPr>
        <w:t>: India needs a proactive strategy to mitigate addiction risks associated with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15</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16</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Learning from regulatory frameworks in countries like the UK and Australia could help India balance economic gains with social responsibility in its approach to gambling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17</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18</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476814">
        <w:rPr>
          <w:rFonts w:ascii="Segoe UI" w:eastAsia="Times New Roman" w:hAnsi="Segoe UI" w:cs="Segoe UI"/>
          <w:b/>
          <w:bCs/>
          <w:sz w:val="27"/>
          <w:szCs w:val="27"/>
        </w:rPr>
        <w:t>Challenges in Research Application</w:t>
      </w:r>
    </w:p>
    <w:p w:rsidR="00476814" w:rsidRPr="00476814" w:rsidRDefault="00476814" w:rsidP="00476814">
      <w:pPr>
        <w:numPr>
          <w:ilvl w:val="0"/>
          <w:numId w:val="2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476814">
        <w:rPr>
          <w:rFonts w:ascii="Segoe UI" w:eastAsia="Times New Roman" w:hAnsi="Segoe UI" w:cs="Segoe UI"/>
          <w:b/>
          <w:bCs/>
          <w:sz w:val="23"/>
          <w:szCs w:val="23"/>
          <w:bdr w:val="single" w:sz="2" w:space="0" w:color="E4E6E8" w:frame="1"/>
        </w:rPr>
        <w:t>Cultural Differences</w:t>
      </w:r>
      <w:r w:rsidRPr="00476814">
        <w:rPr>
          <w:rFonts w:ascii="Segoe UI" w:eastAsia="Times New Roman" w:hAnsi="Segoe UI" w:cs="Segoe UI"/>
          <w:sz w:val="23"/>
          <w:szCs w:val="23"/>
        </w:rPr>
        <w:t>: Many studies on gambling are from Western countries (e.g., US, UK, Australia). Applying findings from these regions to India, which has a vastly different gambling culture and regulation, raises concerns about their direct applicability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19</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 </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bdr w:val="single" w:sz="2" w:space="0" w:color="E4E6E8" w:frame="1"/>
        </w:rPr>
        <w:t>20</w:t>
      </w:r>
      <w:r w:rsidRPr="00476814">
        <w:rPr>
          <w:rFonts w:ascii="Segoe UI" w:eastAsia="Times New Roman" w:hAnsi="Segoe UI" w:cs="Segoe UI"/>
          <w:b/>
          <w:bCs/>
          <w:sz w:val="23"/>
          <w:szCs w:val="23"/>
          <w:bdr w:val="single" w:sz="2" w:space="0" w:color="E4E6E8" w:frame="1"/>
        </w:rPr>
        <w:t>]</w:t>
      </w:r>
      <w:r w:rsidRPr="00476814">
        <w:rPr>
          <w:rFonts w:ascii="Segoe UI" w:eastAsia="Times New Roman" w:hAnsi="Segoe UI" w:cs="Segoe UI"/>
          <w:sz w:val="23"/>
          <w:szCs w:val="23"/>
        </w:rPr>
        <w:t>.</w:t>
      </w:r>
    </w:p>
    <w:p w:rsidR="00476814" w:rsidRPr="00476814" w:rsidRDefault="00476814" w:rsidP="00476814">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476814">
        <w:rPr>
          <w:rFonts w:ascii="Segoe UI" w:eastAsia="Times New Roman" w:hAnsi="Segoe UI" w:cs="Segoe UI"/>
          <w:sz w:val="23"/>
          <w:szCs w:val="23"/>
        </w:rPr>
        <w:t>In conclusion, while direct case studies on gambling disorders are not extensively detailed, the contexts highlight a specific study on online gambling addiction among college students in Kerala. They also underscore the significant scale of gambling in India, its socio-economic impacts, and the challenges posed by an outdated legal framework, emphasizing the need for more localized research and proactive measures to address addiction.</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The Role of Algorithms and Data Analytics in Combating Corruption in Sports Betting</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Algorithms and data analytics play a crucial role in monitoring betting patterns, detecting suspicious activities, and preventing corruption, such as match-fixing, in sports. These technologies are central to maintaining the integrity of sports by providing data-driven oversight and enabling proactive intervention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lastRenderedPageBreak/>
        <w:t>Detection of Unusual Betting Patterns</w:t>
      </w:r>
    </w:p>
    <w:p w:rsidR="001C35E7" w:rsidRPr="001C35E7" w:rsidRDefault="001C35E7" w:rsidP="001C35E7">
      <w:pPr>
        <w:numPr>
          <w:ilvl w:val="0"/>
          <w:numId w:val="2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Algorithmic Alerts</w:t>
      </w:r>
      <w:r w:rsidRPr="001C35E7">
        <w:rPr>
          <w:rFonts w:ascii="Segoe UI" w:eastAsia="Times New Roman" w:hAnsi="Segoe UI" w:cs="Segoe UI"/>
          <w:sz w:val="23"/>
          <w:szCs w:val="23"/>
        </w:rPr>
        <w:t>: Algorithms are designed to generate alerts when unusual betting volumes or patterns are detected. For example, an alert might be triggered if there's an exceptional volume of betting concentrated in a specific area, predominantly favoring a local team to lose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Predictive Analysis</w:t>
      </w:r>
      <w:r w:rsidRPr="001C35E7">
        <w:rPr>
          <w:rFonts w:ascii="Segoe UI" w:eastAsia="Times New Roman" w:hAnsi="Segoe UI" w:cs="Segoe UI"/>
          <w:sz w:val="23"/>
          <w:szCs w:val="23"/>
        </w:rPr>
        <w:t>: Machine learning algorithms analyze vast amounts of data to predict match-fixing tendencies and identify unusual betting patterns. This allows AI systems to flag high-risk scenarios to regulators and operators, enabling immediate intervention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10</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Real-time Monitoring</w:t>
      </w:r>
      <w:r w:rsidRPr="001C35E7">
        <w:rPr>
          <w:rFonts w:ascii="Segoe UI" w:eastAsia="Times New Roman" w:hAnsi="Segoe UI" w:cs="Segoe UI"/>
          <w:sz w:val="23"/>
          <w:szCs w:val="23"/>
        </w:rPr>
        <w:t>: Big data and AI are employed to track betting trends and flag suspicious activities in real-time, helping to identify patterns associated with match-fixing or other illegal behaviors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Mathematical Modeling and Benchmarking</w:t>
      </w:r>
    </w:p>
    <w:p w:rsidR="001C35E7" w:rsidRPr="001C35E7" w:rsidRDefault="001C35E7" w:rsidP="001C35E7">
      <w:pPr>
        <w:numPr>
          <w:ilvl w:val="0"/>
          <w:numId w:val="2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Core of Monitoring Systems</w:t>
      </w:r>
      <w:r w:rsidRPr="001C35E7">
        <w:rPr>
          <w:rFonts w:ascii="Segoe UI" w:eastAsia="Times New Roman" w:hAnsi="Segoe UI" w:cs="Segoe UI"/>
          <w:sz w:val="23"/>
          <w:szCs w:val="23"/>
        </w:rPr>
        <w:t>: Mathematical modeling is fundamental to monitoring systems, as it allows algorithms to generate benchmark odds. These benchmarks are then compared with actual odds movements to identify abnormal behavior during a game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Divergence Detection</w:t>
      </w:r>
      <w:r w:rsidRPr="001C35E7">
        <w:rPr>
          <w:rFonts w:ascii="Segoe UI" w:eastAsia="Times New Roman" w:hAnsi="Segoe UI" w:cs="Segoe UI"/>
          <w:sz w:val="23"/>
          <w:szCs w:val="23"/>
        </w:rPr>
        <w:t>: Detection algorithms rely on in-play forecasting models. Predictions from these models are compared against the odds offered in betting markets, and suspicions are raised when the market odds and model odds diverge significantly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Data Sharing and Technology Integration</w:t>
      </w:r>
    </w:p>
    <w:p w:rsidR="001C35E7" w:rsidRPr="001C35E7" w:rsidRDefault="001C35E7" w:rsidP="001C35E7">
      <w:pPr>
        <w:numPr>
          <w:ilvl w:val="0"/>
          <w:numId w:val="2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Regulatory Mandates</w:t>
      </w:r>
      <w:r w:rsidRPr="001C35E7">
        <w:rPr>
          <w:rFonts w:ascii="Segoe UI" w:eastAsia="Times New Roman" w:hAnsi="Segoe UI" w:cs="Segoe UI"/>
          <w:sz w:val="23"/>
          <w:szCs w:val="23"/>
        </w:rPr>
        <w:t>: In some regions, such as the UK, betting companies are required to share data with regulatory bodies. This data-sharing, combined with big data and AI, helps monitor betting patterns, detect suspicious activities, and prevent match-fixing, thereby maintaining sports integrity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proofErr w:type="spellStart"/>
      <w:r w:rsidRPr="001C35E7">
        <w:rPr>
          <w:rFonts w:ascii="Segoe UI" w:eastAsia="Times New Roman" w:hAnsi="Segoe UI" w:cs="Segoe UI"/>
          <w:b/>
          <w:bCs/>
          <w:sz w:val="23"/>
          <w:szCs w:val="23"/>
          <w:bdr w:val="single" w:sz="2" w:space="0" w:color="E4E6E8" w:frame="1"/>
        </w:rPr>
        <w:t>Blockchain</w:t>
      </w:r>
      <w:proofErr w:type="spellEnd"/>
      <w:r w:rsidRPr="001C35E7">
        <w:rPr>
          <w:rFonts w:ascii="Segoe UI" w:eastAsia="Times New Roman" w:hAnsi="Segoe UI" w:cs="Segoe UI"/>
          <w:b/>
          <w:bCs/>
          <w:sz w:val="23"/>
          <w:szCs w:val="23"/>
          <w:bdr w:val="single" w:sz="2" w:space="0" w:color="E4E6E8" w:frame="1"/>
        </w:rPr>
        <w:t xml:space="preserve"> and AI for Integrity</w:t>
      </w:r>
      <w:r w:rsidRPr="001C35E7">
        <w:rPr>
          <w:rFonts w:ascii="Segoe UI" w:eastAsia="Times New Roman" w:hAnsi="Segoe UI" w:cs="Segoe UI"/>
          <w:sz w:val="23"/>
          <w:szCs w:val="23"/>
        </w:rPr>
        <w:t xml:space="preserve">: Technologies like </w:t>
      </w:r>
      <w:proofErr w:type="spellStart"/>
      <w:r w:rsidRPr="001C35E7">
        <w:rPr>
          <w:rFonts w:ascii="Segoe UI" w:eastAsia="Times New Roman" w:hAnsi="Segoe UI" w:cs="Segoe UI"/>
          <w:sz w:val="23"/>
          <w:szCs w:val="23"/>
        </w:rPr>
        <w:t>Blockchain</w:t>
      </w:r>
      <w:proofErr w:type="spellEnd"/>
      <w:r w:rsidRPr="001C35E7">
        <w:rPr>
          <w:rFonts w:ascii="Segoe UI" w:eastAsia="Times New Roman" w:hAnsi="Segoe UI" w:cs="Segoe UI"/>
          <w:sz w:val="23"/>
          <w:szCs w:val="23"/>
        </w:rPr>
        <w:t xml:space="preserve"> ensure immutable records of betting activities, making manipulation difficult. Alongside big data analytics, AI plays a critical role in identifying fraudulent or unethical behavior in real-time and enhancing transparency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20</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 summary, algorithms and data analytics, including machine learning and AI, are indispensable tools in the fight against corruption in sports betting. They enable sophisticated monitoring, predictive analysis, and real-time detection of anomalies, thereby safeguarding the fairness and integrity of sports.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Manipulation of Odds: Techniques and Tools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lastRenderedPageBreak/>
        <w:t>Manipulation of odds in betting markets can occur through various techniques, often involving strategic betting or responses from bookmakers to market activity. The goal is often to exploit inefficiencies or react to perceived attempts at match manipulation.</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Techniques for Bettors</w:t>
      </w:r>
    </w:p>
    <w:p w:rsidR="001C35E7" w:rsidRPr="001C35E7" w:rsidRDefault="001C35E7" w:rsidP="001C35E7">
      <w:pPr>
        <w:numPr>
          <w:ilvl w:val="0"/>
          <w:numId w:val="2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Observing Odds Distribution</w:t>
      </w:r>
      <w:r w:rsidRPr="001C35E7">
        <w:rPr>
          <w:rFonts w:ascii="Segoe UI" w:eastAsia="Times New Roman" w:hAnsi="Segoe UI" w:cs="Segoe UI"/>
          <w:sz w:val="23"/>
          <w:szCs w:val="23"/>
        </w:rPr>
        <w:t>: Bettors may employ a strategy that involves monitoring the distribution of odds across different bookmakers for a specific event. They place bets only when at least one bookmaker offers unusually attractive odds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Matched Betting</w:t>
      </w:r>
      <w:r w:rsidRPr="001C35E7">
        <w:rPr>
          <w:rFonts w:ascii="Segoe UI" w:eastAsia="Times New Roman" w:hAnsi="Segoe UI" w:cs="Segoe UI"/>
          <w:sz w:val="23"/>
          <w:szCs w:val="23"/>
        </w:rPr>
        <w:t>: Some sports bettors reportedly use 'matched betting,' a technique that strategically utilizes bookmakers' financial inducements to generate risk-free returns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Bookmaker Responses to Manipulation</w:t>
      </w:r>
    </w:p>
    <w:p w:rsidR="001C35E7" w:rsidRPr="001C35E7" w:rsidRDefault="001C35E7" w:rsidP="001C35E7">
      <w:pPr>
        <w:numPr>
          <w:ilvl w:val="0"/>
          <w:numId w:val="2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Modifying Odds</w:t>
      </w:r>
      <w:r w:rsidRPr="001C35E7">
        <w:rPr>
          <w:rFonts w:ascii="Segoe UI" w:eastAsia="Times New Roman" w:hAnsi="Segoe UI" w:cs="Segoe UI"/>
          <w:sz w:val="23"/>
          <w:szCs w:val="23"/>
        </w:rPr>
        <w:t>: Bookmakers, particularly Asian bookmakers, may adjust odds to prevent over-exposure to an outcome that is receiving a large influx of money. This change in odds can signal that some traders are aware of an impending attempt to manipulate a match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Identifying Potential Manipulation or Inefficiency</w:t>
      </w:r>
    </w:p>
    <w:p w:rsidR="001C35E7" w:rsidRPr="001C35E7" w:rsidRDefault="001C35E7" w:rsidP="001C35E7">
      <w:pPr>
        <w:numPr>
          <w:ilvl w:val="0"/>
          <w:numId w:val="2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Unusual Odds Movements</w:t>
      </w:r>
      <w:r w:rsidRPr="001C35E7">
        <w:rPr>
          <w:rFonts w:ascii="Segoe UI" w:eastAsia="Times New Roman" w:hAnsi="Segoe UI" w:cs="Segoe UI"/>
          <w:sz w:val="23"/>
          <w:szCs w:val="23"/>
        </w:rPr>
        <w:t>: A tennis match suspected of manipulation, for example, showed the pre-match underdog's odds shortening significantly as the match progressed and their win became more probable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Similarly, in a football match, odds for 'over 3.5 goals' might decrease sharply even when only two goals have been scored and time is running out, suggesting an unusual market movement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Analyzing Bookmaker Efficiency</w:t>
      </w:r>
      <w:r w:rsidRPr="001C35E7">
        <w:rPr>
          <w:rFonts w:ascii="Segoe UI" w:eastAsia="Times New Roman" w:hAnsi="Segoe UI" w:cs="Segoe UI"/>
          <w:sz w:val="23"/>
          <w:szCs w:val="23"/>
        </w:rPr>
        <w:t>: Researchers can assess bookmaker efficiency by examining whether a linear combination of odds from other bookmakers can predict a specific bookmaker's odds. If such a combination significantly explains a bookmaker's values, it suggests that the bookmaker is not incorporating all relevant information and is not operating an efficient market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Historical Inefficiencies</w:t>
      </w:r>
      <w:r w:rsidRPr="001C35E7">
        <w:rPr>
          <w:rFonts w:ascii="Segoe UI" w:eastAsia="Times New Roman" w:hAnsi="Segoe UI" w:cs="Segoe UI"/>
          <w:sz w:val="23"/>
          <w:szCs w:val="23"/>
        </w:rPr>
        <w:t>: Studies have historically found evidence of inefficiency in betting markets, such as for English football matches in 1981/82, particularly concerning the odds for a draw outcome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2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proofErr w:type="spellStart"/>
      <w:r w:rsidRPr="001C35E7">
        <w:rPr>
          <w:rFonts w:ascii="Segoe UI" w:eastAsia="Times New Roman" w:hAnsi="Segoe UI" w:cs="Segoe UI"/>
          <w:b/>
          <w:bCs/>
          <w:sz w:val="23"/>
          <w:szCs w:val="23"/>
          <w:bdr w:val="single" w:sz="2" w:space="0" w:color="E4E6E8" w:frame="1"/>
        </w:rPr>
        <w:t>Favourite</w:t>
      </w:r>
      <w:proofErr w:type="spellEnd"/>
      <w:r w:rsidRPr="001C35E7">
        <w:rPr>
          <w:rFonts w:ascii="Segoe UI" w:eastAsia="Times New Roman" w:hAnsi="Segoe UI" w:cs="Segoe UI"/>
          <w:b/>
          <w:bCs/>
          <w:sz w:val="23"/>
          <w:szCs w:val="23"/>
          <w:bdr w:val="single" w:sz="2" w:space="0" w:color="E4E6E8" w:frame="1"/>
        </w:rPr>
        <w:t>-Longshot Bias</w:t>
      </w:r>
      <w:r w:rsidRPr="001C35E7">
        <w:rPr>
          <w:rFonts w:ascii="Segoe UI" w:eastAsia="Times New Roman" w:hAnsi="Segoe UI" w:cs="Segoe UI"/>
          <w:sz w:val="23"/>
          <w:szCs w:val="23"/>
        </w:rPr>
        <w:t xml:space="preserve">: An empirical irregularity known as the </w:t>
      </w:r>
      <w:proofErr w:type="spellStart"/>
      <w:r w:rsidRPr="001C35E7">
        <w:rPr>
          <w:rFonts w:ascii="Segoe UI" w:eastAsia="Times New Roman" w:hAnsi="Segoe UI" w:cs="Segoe UI"/>
          <w:sz w:val="23"/>
          <w:szCs w:val="23"/>
        </w:rPr>
        <w:t>favourite</w:t>
      </w:r>
      <w:proofErr w:type="spellEnd"/>
      <w:r w:rsidRPr="001C35E7">
        <w:rPr>
          <w:rFonts w:ascii="Segoe UI" w:eastAsia="Times New Roman" w:hAnsi="Segoe UI" w:cs="Segoe UI"/>
          <w:sz w:val="23"/>
          <w:szCs w:val="23"/>
        </w:rPr>
        <w:t>-longshot bias exists in some prediction markets. This bias suggests that odds may underestimate the chances of the most expected outcomes or overestimate the chances of the least expected outcomes, potentially making bets on favorites more profitable than on longshots, or vice versa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 summary, both bettors and bookmakers engage in practices that relate to the manipulation or detection of manipulated odds. Bettors seek advantageous odds or risk-</w:t>
      </w:r>
      <w:r w:rsidRPr="001C35E7">
        <w:rPr>
          <w:rFonts w:ascii="Segoe UI" w:eastAsia="Times New Roman" w:hAnsi="Segoe UI" w:cs="Segoe UI"/>
          <w:sz w:val="23"/>
          <w:szCs w:val="23"/>
        </w:rPr>
        <w:lastRenderedPageBreak/>
        <w:t>free returns, while bookmakers adjust odds in response to market signals, which can sometimes indicate attempted match manipulation. Researchers also employ methods to identify market inefficiencies and potential manipulation by analyzing odds data across different bookmakers.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Ethical Considerations in Technology Use</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Ethical considerations in technology use primarily revolve around balancing innovation with responsible practices, especially concerning its societal impact and potential for harm. Technology's widespread reach and nature make outright bans problematic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Challenges and Risks Associated with Technology</w:t>
      </w:r>
    </w:p>
    <w:p w:rsidR="001C35E7" w:rsidRPr="001C35E7" w:rsidRDefault="001C35E7" w:rsidP="001C35E7">
      <w:pPr>
        <w:numPr>
          <w:ilvl w:val="0"/>
          <w:numId w:val="3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Increased Risk of Problem Gambling</w:t>
      </w:r>
      <w:r w:rsidRPr="001C35E7">
        <w:rPr>
          <w:rFonts w:ascii="Segoe UI" w:eastAsia="Times New Roman" w:hAnsi="Segoe UI" w:cs="Segoe UI"/>
          <w:sz w:val="23"/>
          <w:szCs w:val="23"/>
        </w:rPr>
        <w:t>: While technological advancements have improved the sports betting experience through online platforms, mobile apps, and live betting, these benefits also introduce challenges. The enhanced accessibility and engagement can elevate the risks of problem gambling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Victimization</w:t>
      </w:r>
      <w:r w:rsidRPr="001C35E7">
        <w:rPr>
          <w:rFonts w:ascii="Segoe UI" w:eastAsia="Times New Roman" w:hAnsi="Segoe UI" w:cs="Segoe UI"/>
          <w:sz w:val="23"/>
          <w:szCs w:val="23"/>
        </w:rPr>
        <w:t>: The pervasive use of digital gadgets necessitates strong cyber law implementation and continuous updates to prevent individuals from becoming victims. There's a need to educate students on online gaming laws, regulations, financial fraud, and the potential for victimization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Regulatory and Oversight Needs</w:t>
      </w:r>
    </w:p>
    <w:p w:rsidR="001C35E7" w:rsidRPr="001C35E7" w:rsidRDefault="001C35E7" w:rsidP="001C35E7">
      <w:pPr>
        <w:numPr>
          <w:ilvl w:val="0"/>
          <w:numId w:val="3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Evolving Regulatory Frameworks</w:t>
      </w:r>
      <w:r w:rsidRPr="001C35E7">
        <w:rPr>
          <w:rFonts w:ascii="Segoe UI" w:eastAsia="Times New Roman" w:hAnsi="Segoe UI" w:cs="Segoe UI"/>
          <w:sz w:val="23"/>
          <w:szCs w:val="23"/>
        </w:rPr>
        <w:t>: Regulatory frameworks must adapt to address the challenges posed by technological advancements, ensuring a balance between innovation and responsible practices, particularly in areas like gambling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Monitoring and Control</w:t>
      </w:r>
      <w:r w:rsidRPr="001C35E7">
        <w:rPr>
          <w:rFonts w:ascii="Segoe UI" w:eastAsia="Times New Roman" w:hAnsi="Segoe UI" w:cs="Segoe UI"/>
          <w:sz w:val="23"/>
          <w:szCs w:val="23"/>
        </w:rPr>
        <w:t xml:space="preserve">: Modern technology provides sophisticated tools for monitoring and controlling activities, such as betting. </w:t>
      </w:r>
      <w:proofErr w:type="spellStart"/>
      <w:r w:rsidRPr="001C35E7">
        <w:rPr>
          <w:rFonts w:ascii="Segoe UI" w:eastAsia="Times New Roman" w:hAnsi="Segoe UI" w:cs="Segoe UI"/>
          <w:sz w:val="23"/>
          <w:szCs w:val="23"/>
        </w:rPr>
        <w:t>Blockchain</w:t>
      </w:r>
      <w:proofErr w:type="spellEnd"/>
      <w:r w:rsidRPr="001C35E7">
        <w:rPr>
          <w:rFonts w:ascii="Segoe UI" w:eastAsia="Times New Roman" w:hAnsi="Segoe UI" w:cs="Segoe UI"/>
          <w:sz w:val="23"/>
          <w:szCs w:val="23"/>
        </w:rPr>
        <w:t xml:space="preserve"> technology, for instance, can enhance transparency in financial transactions within industries like betting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Transparency and Fraud Reduction</w:t>
      </w:r>
      <w:r w:rsidRPr="001C35E7">
        <w:rPr>
          <w:rFonts w:ascii="Segoe UI" w:eastAsia="Times New Roman" w:hAnsi="Segoe UI" w:cs="Segoe UI"/>
          <w:sz w:val="23"/>
          <w:szCs w:val="23"/>
        </w:rPr>
        <w:t xml:space="preserve">: Integrating technologies like AI and </w:t>
      </w:r>
      <w:proofErr w:type="spellStart"/>
      <w:r w:rsidRPr="001C35E7">
        <w:rPr>
          <w:rFonts w:ascii="Segoe UI" w:eastAsia="Times New Roman" w:hAnsi="Segoe UI" w:cs="Segoe UI"/>
          <w:sz w:val="23"/>
          <w:szCs w:val="23"/>
        </w:rPr>
        <w:t>blockchain</w:t>
      </w:r>
      <w:proofErr w:type="spellEnd"/>
      <w:r w:rsidRPr="001C35E7">
        <w:rPr>
          <w:rFonts w:ascii="Segoe UI" w:eastAsia="Times New Roman" w:hAnsi="Segoe UI" w:cs="Segoe UI"/>
          <w:sz w:val="23"/>
          <w:szCs w:val="23"/>
        </w:rPr>
        <w:t xml:space="preserve"> can facilitate real-time monitoring, secure transactions, and transparent reporting. A </w:t>
      </w:r>
      <w:proofErr w:type="spellStart"/>
      <w:r w:rsidRPr="001C35E7">
        <w:rPr>
          <w:rFonts w:ascii="Segoe UI" w:eastAsia="Times New Roman" w:hAnsi="Segoe UI" w:cs="Segoe UI"/>
          <w:sz w:val="23"/>
          <w:szCs w:val="23"/>
        </w:rPr>
        <w:t>blockchain</w:t>
      </w:r>
      <w:proofErr w:type="spellEnd"/>
      <w:r w:rsidRPr="001C35E7">
        <w:rPr>
          <w:rFonts w:ascii="Segoe UI" w:eastAsia="Times New Roman" w:hAnsi="Segoe UI" w:cs="Segoe UI"/>
          <w:sz w:val="23"/>
          <w:szCs w:val="23"/>
        </w:rPr>
        <w:t>-based system specifically can improve transparency and reduce fraud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xml:space="preserve">. Smart contracts, built on </w:t>
      </w:r>
      <w:proofErr w:type="spellStart"/>
      <w:r w:rsidRPr="001C35E7">
        <w:rPr>
          <w:rFonts w:ascii="Segoe UI" w:eastAsia="Times New Roman" w:hAnsi="Segoe UI" w:cs="Segoe UI"/>
          <w:sz w:val="23"/>
          <w:szCs w:val="23"/>
        </w:rPr>
        <w:t>blockchain</w:t>
      </w:r>
      <w:proofErr w:type="spellEnd"/>
      <w:r w:rsidRPr="001C35E7">
        <w:rPr>
          <w:rFonts w:ascii="Segoe UI" w:eastAsia="Times New Roman" w:hAnsi="Segoe UI" w:cs="Segoe UI"/>
          <w:sz w:val="23"/>
          <w:szCs w:val="23"/>
        </w:rPr>
        <w:t>, can automate transactions, ensuring transparency and minimizing tampering risks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Promoting Responsible Use</w:t>
      </w:r>
    </w:p>
    <w:p w:rsidR="001C35E7" w:rsidRPr="001C35E7" w:rsidRDefault="001C35E7" w:rsidP="001C35E7">
      <w:pPr>
        <w:numPr>
          <w:ilvl w:val="0"/>
          <w:numId w:val="3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Parental and Mentor Involvement</w:t>
      </w:r>
      <w:r w:rsidRPr="001C35E7">
        <w:rPr>
          <w:rFonts w:ascii="Segoe UI" w:eastAsia="Times New Roman" w:hAnsi="Segoe UI" w:cs="Segoe UI"/>
          <w:sz w:val="23"/>
          <w:szCs w:val="23"/>
        </w:rPr>
        <w:t>: Parents and mentors are encouraged to monitor students' use of digital gadgets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lastRenderedPageBreak/>
        <w:t>Awareness and Education</w:t>
      </w:r>
      <w:r w:rsidRPr="001C35E7">
        <w:rPr>
          <w:rFonts w:ascii="Segoe UI" w:eastAsia="Times New Roman" w:hAnsi="Segoe UI" w:cs="Segoe UI"/>
          <w:sz w:val="23"/>
          <w:szCs w:val="23"/>
        </w:rPr>
        <w:t>: Implementing awareness sessions for students regarding online gaming laws, financial fraud, and potential victimhood is crucial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Research Ethics</w:t>
      </w:r>
    </w:p>
    <w:p w:rsidR="001C35E7" w:rsidRPr="001C35E7" w:rsidRDefault="001C35E7" w:rsidP="001C35E7">
      <w:pPr>
        <w:numPr>
          <w:ilvl w:val="0"/>
          <w:numId w:val="3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Secondary De-identified Data</w:t>
      </w:r>
      <w:r w:rsidRPr="001C35E7">
        <w:rPr>
          <w:rFonts w:ascii="Segoe UI" w:eastAsia="Times New Roman" w:hAnsi="Segoe UI" w:cs="Segoe UI"/>
          <w:sz w:val="23"/>
          <w:szCs w:val="23"/>
        </w:rPr>
        <w:t>: In some research contexts, ethics approval may not be required if the study utilizes secondary, de-identified data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 conclusion, while technology offers significant advantages and innovative solutions, its ethical deployment requires robust regulatory frameworks, continuous monitoring, and educational initiatives to mitigate risks and ensure responsible use across various societal domains.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Lessons from Other Countries' Regulations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Examining the regulatory frameworks of countries like the United Kingdom and Australia provides valuable insights into managing betting markets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These experiences offer key lessons regarding revenue generation, consumer protection, and the dynamic nature of regulation.</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Benefits of Regulated Markets</w:t>
      </w:r>
    </w:p>
    <w:p w:rsidR="001C35E7" w:rsidRPr="001C35E7" w:rsidRDefault="001C35E7" w:rsidP="001C35E7">
      <w:pPr>
        <w:numPr>
          <w:ilvl w:val="0"/>
          <w:numId w:val="3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Revenue Generation and Public Welfare</w:t>
      </w:r>
      <w:r w:rsidRPr="001C35E7">
        <w:rPr>
          <w:rFonts w:ascii="Segoe UI" w:eastAsia="Times New Roman" w:hAnsi="Segoe UI" w:cs="Segoe UI"/>
          <w:sz w:val="23"/>
          <w:szCs w:val="23"/>
        </w:rPr>
        <w:t>: Both the UK and Australia have demonstrated that a well-regulated betting market can generate significant revenue for the economy. This revenue can potentially be directed towards public welfare initiatives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The proper implementation of laws in internet gambling can also contribute to government economies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Consumer Protection</w:t>
      </w:r>
      <w:r w:rsidRPr="001C35E7">
        <w:rPr>
          <w:rFonts w:ascii="Segoe UI" w:eastAsia="Times New Roman" w:hAnsi="Segoe UI" w:cs="Segoe UI"/>
          <w:sz w:val="23"/>
          <w:szCs w:val="23"/>
        </w:rPr>
        <w:t>: A well-regulated market is also effective in protecting consumers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Challenges and Adaptations</w:t>
      </w:r>
    </w:p>
    <w:p w:rsidR="001C35E7" w:rsidRPr="001C35E7" w:rsidRDefault="001C35E7" w:rsidP="001C35E7">
      <w:pPr>
        <w:numPr>
          <w:ilvl w:val="0"/>
          <w:numId w:val="3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Imperfection of Systems</w:t>
      </w:r>
      <w:r w:rsidRPr="001C35E7">
        <w:rPr>
          <w:rFonts w:ascii="Segoe UI" w:eastAsia="Times New Roman" w:hAnsi="Segoe UI" w:cs="Segoe UI"/>
          <w:sz w:val="23"/>
          <w:szCs w:val="23"/>
        </w:rPr>
        <w:t>: Despite the benefits, no regulatory system is perfect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Constant Updating</w:t>
      </w:r>
      <w:r w:rsidRPr="001C35E7">
        <w:rPr>
          <w:rFonts w:ascii="Segoe UI" w:eastAsia="Times New Roman" w:hAnsi="Segoe UI" w:cs="Segoe UI"/>
          <w:sz w:val="23"/>
          <w:szCs w:val="23"/>
        </w:rPr>
        <w:t>: Regulations require continuous updates to address new threats, such as the emergence of online platforms and novel forms of betting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10</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International Cooperation</w:t>
      </w:r>
      <w:r w:rsidRPr="001C35E7">
        <w:rPr>
          <w:rFonts w:ascii="Segoe UI" w:eastAsia="Times New Roman" w:hAnsi="Segoe UI" w:cs="Segoe UI"/>
          <w:sz w:val="23"/>
          <w:szCs w:val="23"/>
        </w:rPr>
        <w:t>: Countries like Australia and the UK have established robust frameworks for international cooperation in gambling regulation. India could adopt a similar approach by forming memorandums of understanding (MoUs) to combat illegal betting and share best practices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Contextualizing Regulations</w:t>
      </w:r>
    </w:p>
    <w:p w:rsidR="001C35E7" w:rsidRPr="001C35E7" w:rsidRDefault="001C35E7" w:rsidP="001C35E7">
      <w:pPr>
        <w:numPr>
          <w:ilvl w:val="0"/>
          <w:numId w:val="3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lastRenderedPageBreak/>
        <w:t>Tailored Frameworks</w:t>
      </w:r>
      <w:r w:rsidRPr="001C35E7">
        <w:rPr>
          <w:rFonts w:ascii="Segoe UI" w:eastAsia="Times New Roman" w:hAnsi="Segoe UI" w:cs="Segoe UI"/>
          <w:sz w:val="23"/>
          <w:szCs w:val="23"/>
        </w:rPr>
        <w:t>: While global best practices are valuable, a country's regulatory system must be designed to address its specific local challenges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Varying National Laws</w:t>
      </w:r>
      <w:r w:rsidRPr="001C35E7">
        <w:rPr>
          <w:rFonts w:ascii="Segoe UI" w:eastAsia="Times New Roman" w:hAnsi="Segoe UI" w:cs="Segoe UI"/>
          <w:sz w:val="23"/>
          <w:szCs w:val="23"/>
        </w:rPr>
        <w:t>: Different countries have diverse legislations concerning online gambling, and debates on regulation versus prohibition are ongoing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Historically, online gambling has often operated outside formal laws, leading to a surge in users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 summary, the experiences of the UK and Australia highlight that regulated betting markets can generate revenue and protect consumers, but they also underscore the need for continuous adaptation, international cooperation, and a tailored approach to regulation to address evolving challenges and ensure effectiveness.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Cultural Comparisons in Betting Habits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Research on betting habits highlights significant cultural variations and the need for more diverse studies to fully understand these differences. While some cultures view sports gambling negatively, others consider it a normal activity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Need for Diverse Research</w:t>
      </w:r>
    </w:p>
    <w:p w:rsidR="001C35E7" w:rsidRPr="001C35E7" w:rsidRDefault="001C35E7" w:rsidP="001C35E7">
      <w:pPr>
        <w:numPr>
          <w:ilvl w:val="0"/>
          <w:numId w:val="3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Future research should aim to include a broader range of studies to effectively capture cultural variations in gambling behaviors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It is crucial to explore cross-cultural factors in online sports betting to understand how cultural norms influence both risk and protective measures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A significant concern arises because most analyzed studies originate from Western countries like the United States, the United Kingdom, and Australia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This raises doubts about the applicability of findings to regions with vastly different gambling cultures or regulations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Cultural Perspectives on Gambling</w:t>
      </w:r>
    </w:p>
    <w:p w:rsidR="001C35E7" w:rsidRPr="001C35E7" w:rsidRDefault="001C35E7" w:rsidP="001C35E7">
      <w:pPr>
        <w:numPr>
          <w:ilvl w:val="0"/>
          <w:numId w:val="3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The perception of sports gambling varies culturally; some cultures view it negatively, while others see it as normal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The experiences of the UK and Australia demonstrate that while a well-regulated betting market can generate revenue and protect consumers, no system is flawless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Gender Differences in Betting</w:t>
      </w:r>
    </w:p>
    <w:p w:rsidR="001C35E7" w:rsidRPr="001C35E7" w:rsidRDefault="001C35E7" w:rsidP="001C35E7">
      <w:pPr>
        <w:numPr>
          <w:ilvl w:val="0"/>
          <w:numId w:val="3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Women tend to prefer Electronic Gaming Machines (EGMs) over many other forms of gambling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3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Sports betting is predominantly engaged in by men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lastRenderedPageBreak/>
        <w:t>In conclusion, understanding betting habits requires a more inclusive approach to research, moving beyond Western-centric studies to encompass diverse cultural perspectives and their impact on gambling behaviors and regulations.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Effectiveness of International Regulatory Models in Gambling Regulation</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International regulatory models, particularly those observed in countries like the United Kingdom and Australia, offer valuable insights into establishing effective frameworks for gambling regulation. These models demonstrate how a well-structured regulatory approach can benefit economies, safeguard public interests, and address the complexities of online betting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Benefits of Regulated International Models</w:t>
      </w:r>
    </w:p>
    <w:p w:rsidR="001C35E7" w:rsidRPr="001C35E7" w:rsidRDefault="001C35E7" w:rsidP="001C35E7">
      <w:pPr>
        <w:numPr>
          <w:ilvl w:val="0"/>
          <w:numId w:val="4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Economic Contribution</w:t>
      </w:r>
      <w:r w:rsidRPr="001C35E7">
        <w:rPr>
          <w:rFonts w:ascii="Segoe UI" w:eastAsia="Times New Roman" w:hAnsi="Segoe UI" w:cs="Segoe UI"/>
          <w:sz w:val="23"/>
          <w:szCs w:val="23"/>
        </w:rPr>
        <w:t>: Regulated betting markets, as seen in the UK and Australia, can significantly contribute to national economies, potentially generating billions in revenue for public welfare initiatives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Consumer Protection and Industry Transparency</w:t>
      </w:r>
      <w:r w:rsidRPr="001C35E7">
        <w:rPr>
          <w:rFonts w:ascii="Segoe UI" w:eastAsia="Times New Roman" w:hAnsi="Segoe UI" w:cs="Segoe UI"/>
          <w:sz w:val="23"/>
          <w:szCs w:val="23"/>
        </w:rPr>
        <w:t>: Carefully constructed regulatory models can transform an unregulated industry into a transparent and beneficial one by emphasizing consumer protection, technological oversight, and responsible gambling practices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Adaptability and Evolution</w:t>
      </w:r>
      <w:r w:rsidRPr="001C35E7">
        <w:rPr>
          <w:rFonts w:ascii="Segoe UI" w:eastAsia="Times New Roman" w:hAnsi="Segoe UI" w:cs="Segoe UI"/>
          <w:sz w:val="23"/>
          <w:szCs w:val="23"/>
        </w:rPr>
        <w:t>: Effective regulatory frameworks are designed to evolve, ensuring a balance between innovation and responsible gambling, and are constantly updated to address emerging threats like new online platforms and betting forms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10</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Key Components of Effective International Models</w:t>
      </w:r>
    </w:p>
    <w:p w:rsidR="001C35E7" w:rsidRPr="001C35E7" w:rsidRDefault="001C35E7" w:rsidP="001C35E7">
      <w:pPr>
        <w:numPr>
          <w:ilvl w:val="0"/>
          <w:numId w:val="4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Central Regulatory Authority</w:t>
      </w:r>
      <w:r w:rsidRPr="001C35E7">
        <w:rPr>
          <w:rFonts w:ascii="Segoe UI" w:eastAsia="Times New Roman" w:hAnsi="Segoe UI" w:cs="Segoe UI"/>
          <w:sz w:val="23"/>
          <w:szCs w:val="23"/>
        </w:rPr>
        <w:t>: Establishing a central body, similar to the UK Gambling Commission, is crucial for licensing operators, enforcing rules, and levying fines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International Cooperation</w:t>
      </w:r>
      <w:r w:rsidRPr="001C35E7">
        <w:rPr>
          <w:rFonts w:ascii="Segoe UI" w:eastAsia="Times New Roman" w:hAnsi="Segoe UI" w:cs="Segoe UI"/>
          <w:sz w:val="23"/>
          <w:szCs w:val="23"/>
        </w:rPr>
        <w:t>: Given the cross-border nature of online betting, international cooperation is essential. Countries like Australia and the UK have robust frameworks for this, involving memorandums of understanding (MoUs) to combat illegal syndicates and share best practices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Collaboration with global bodies such as Interpol or the International Cricket Council (ICC) can strengthen efforts against corruption and illegal activities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Implementation Requirements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lastRenderedPageBreak/>
        <w:t>Implementing an effective regulatory model requires political will, collaboration among stakeholders, and a commitment to continuous evaluation and adaptation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By examining these international examples, countries like India can better understand how to implement a regulatory system that yields economic benefits while protecting public interests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 conclusion, international regulatory models provide a blueprint for managing the gambling industry effectively, turning potential unregulated risks into transparent and economically beneficial sectors through structured oversight, continuous adaptation, and global collaboration.</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Effectiveness of International Regulatory Models in Gambling Regulation</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International regulatory models, particularly those observed in countries like the United Kingdom and Australia, offer valuable insights into establishing effective frameworks for gambling regulation. These models demonstrate how a well-structured regulatory approach can benefit economies, safeguard public interests, and address the complexities of online betting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Benefits of Regulated International Models</w:t>
      </w:r>
    </w:p>
    <w:p w:rsidR="001C35E7" w:rsidRPr="001C35E7" w:rsidRDefault="001C35E7" w:rsidP="001C35E7">
      <w:pPr>
        <w:numPr>
          <w:ilvl w:val="0"/>
          <w:numId w:val="4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Economic Contribution</w:t>
      </w:r>
      <w:r w:rsidRPr="001C35E7">
        <w:rPr>
          <w:rFonts w:ascii="Segoe UI" w:eastAsia="Times New Roman" w:hAnsi="Segoe UI" w:cs="Segoe UI"/>
          <w:sz w:val="23"/>
          <w:szCs w:val="23"/>
        </w:rPr>
        <w:t>: Regulated betting markets, as seen in the UK and Australia, can significantly contribute to national economies, potentially generating billions in revenue for public welfare initiatives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Consumer Protection and Industry Transparency</w:t>
      </w:r>
      <w:r w:rsidRPr="001C35E7">
        <w:rPr>
          <w:rFonts w:ascii="Segoe UI" w:eastAsia="Times New Roman" w:hAnsi="Segoe UI" w:cs="Segoe UI"/>
          <w:sz w:val="23"/>
          <w:szCs w:val="23"/>
        </w:rPr>
        <w:t>: Carefully constructed regulatory models can transform an unregulated industry into a transparent and beneficial one by emphasizing consumer protection, technological oversight, and responsible gambling practices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Adaptability and Evolution</w:t>
      </w:r>
      <w:r w:rsidRPr="001C35E7">
        <w:rPr>
          <w:rFonts w:ascii="Segoe UI" w:eastAsia="Times New Roman" w:hAnsi="Segoe UI" w:cs="Segoe UI"/>
          <w:sz w:val="23"/>
          <w:szCs w:val="23"/>
        </w:rPr>
        <w:t>: Effective regulatory frameworks are designed to evolve, ensuring a balance between innovation and responsible gambling, and are constantly updated to address emerging threats like new online platforms and betting forms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10</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Key Components of Effective International Models</w:t>
      </w:r>
    </w:p>
    <w:p w:rsidR="001C35E7" w:rsidRPr="001C35E7" w:rsidRDefault="001C35E7" w:rsidP="001C35E7">
      <w:pPr>
        <w:numPr>
          <w:ilvl w:val="0"/>
          <w:numId w:val="4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Central Regulatory Authority</w:t>
      </w:r>
      <w:r w:rsidRPr="001C35E7">
        <w:rPr>
          <w:rFonts w:ascii="Segoe UI" w:eastAsia="Times New Roman" w:hAnsi="Segoe UI" w:cs="Segoe UI"/>
          <w:sz w:val="23"/>
          <w:szCs w:val="23"/>
        </w:rPr>
        <w:t>: Establishing a central body, similar to the UK Gambling Commission, is crucial for licensing operators, enforcing rules, and levying fines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International Cooperation</w:t>
      </w:r>
      <w:r w:rsidRPr="001C35E7">
        <w:rPr>
          <w:rFonts w:ascii="Segoe UI" w:eastAsia="Times New Roman" w:hAnsi="Segoe UI" w:cs="Segoe UI"/>
          <w:sz w:val="23"/>
          <w:szCs w:val="23"/>
        </w:rPr>
        <w:t xml:space="preserve">: Given the cross-border nature of online betting, international cooperation is essential. Countries like Australia and the UK have robust frameworks for this, involving memorandums of understanding (MoUs) to combat illegal syndicates and share </w:t>
      </w:r>
      <w:r w:rsidRPr="001C35E7">
        <w:rPr>
          <w:rFonts w:ascii="Segoe UI" w:eastAsia="Times New Roman" w:hAnsi="Segoe UI" w:cs="Segoe UI"/>
          <w:sz w:val="23"/>
          <w:szCs w:val="23"/>
        </w:rPr>
        <w:lastRenderedPageBreak/>
        <w:t>best practices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Collaboration with global bodies such as Interpol or the International Cricket Council (ICC) can strengthen efforts against corruption and illegal activities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Implementation Requirements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Implementing an effective regulatory model requires political will, collaboration among stakeholders, and a commitment to continuous evaluation and adaptation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By examining these international examples, countries like India can better understand how to implement a regulatory system that yields economic benefits while protecting public interests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 conclusion, international regulatory models provide a blueprint for managing the gambling industry effectively, turning potential unregulated risks into transparent and economically beneficial sectors through structured oversight, continuous adaptation, and global collaboration.</w:t>
      </w:r>
    </w:p>
    <w:p w:rsidR="0057515D" w:rsidRDefault="0057515D"/>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Limitations and Gaps in Research</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Several limitations and research gaps have been identified across the provided papers, spanning methodological constraints, scope limitations, and underexplored areas.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Methodological Limitations</w:t>
      </w:r>
    </w:p>
    <w:p w:rsidR="001C35E7" w:rsidRPr="001C35E7" w:rsidRDefault="001C35E7" w:rsidP="001C35E7">
      <w:pPr>
        <w:numPr>
          <w:ilvl w:val="0"/>
          <w:numId w:val="4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External Validity Concerns</w:t>
      </w:r>
      <w:r w:rsidRPr="001C35E7">
        <w:rPr>
          <w:rFonts w:ascii="Segoe UI" w:eastAsia="Times New Roman" w:hAnsi="Segoe UI" w:cs="Segoe UI"/>
          <w:sz w:val="23"/>
          <w:szCs w:val="23"/>
        </w:rPr>
        <w:t>: The experimental nature of some studies, while ensuring high internal validity, may sacrifice external validity. For instance, participants' perceptions of gambling on simulated matches might differ from their perceptions of gambling on 'real' matches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Inducement Value</w:t>
      </w:r>
      <w:r w:rsidRPr="001C35E7">
        <w:rPr>
          <w:rFonts w:ascii="Segoe UI" w:eastAsia="Times New Roman" w:hAnsi="Segoe UI" w:cs="Segoe UI"/>
          <w:sz w:val="23"/>
          <w:szCs w:val="23"/>
        </w:rPr>
        <w:t>: In some experiments, the value of inducements (e.g., $2 expected value) was large relative to the bet size, which might not reflect real-world scenarios where inducements often have a lower expected value relative to the bet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Scope and Focus Limitations</w:t>
      </w:r>
    </w:p>
    <w:p w:rsidR="001C35E7" w:rsidRPr="001C35E7" w:rsidRDefault="001C35E7" w:rsidP="001C35E7">
      <w:pPr>
        <w:numPr>
          <w:ilvl w:val="0"/>
          <w:numId w:val="4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Neglect of Recent Papers</w:t>
      </w:r>
      <w:r w:rsidRPr="001C35E7">
        <w:rPr>
          <w:rFonts w:ascii="Segoe UI" w:eastAsia="Times New Roman" w:hAnsi="Segoe UI" w:cs="Segoe UI"/>
          <w:sz w:val="23"/>
          <w:szCs w:val="23"/>
        </w:rPr>
        <w:t>: An emphasis on scholarly articles with a very high citation index might lead to the oversight of more recent papers that have not yet accumulated significant citations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Geographical Concentration</w:t>
      </w:r>
      <w:r w:rsidRPr="001C35E7">
        <w:rPr>
          <w:rFonts w:ascii="Segoe UI" w:eastAsia="Times New Roman" w:hAnsi="Segoe UI" w:cs="Segoe UI"/>
          <w:sz w:val="23"/>
          <w:szCs w:val="23"/>
        </w:rPr>
        <w:t>: Research may be concentrated on specific locations, limiting the generalizability of findings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7"/>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lastRenderedPageBreak/>
        <w:t>Problematic Gambling Behavior</w:t>
      </w:r>
      <w:r w:rsidRPr="001C35E7">
        <w:rPr>
          <w:rFonts w:ascii="Segoe UI" w:eastAsia="Times New Roman" w:hAnsi="Segoe UI" w:cs="Segoe UI"/>
          <w:sz w:val="23"/>
          <w:szCs w:val="23"/>
        </w:rPr>
        <w:t>: One study's major limitation was its inability to fully explore problematic gambling behaviors, with sentiment analysis providing a balance between problematic and non-problematic behaviors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Future research could incorporate variables like user experience, enjoyment, and interface to better study problematic behavior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Research Gaps and Underexplored Areas</w:t>
      </w:r>
    </w:p>
    <w:p w:rsidR="001C35E7" w:rsidRPr="001C35E7" w:rsidRDefault="001C35E7" w:rsidP="001C35E7">
      <w:pPr>
        <w:numPr>
          <w:ilvl w:val="0"/>
          <w:numId w:val="4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Emotional and Psychological Factors in Betting</w:t>
      </w:r>
      <w:r w:rsidRPr="001C35E7">
        <w:rPr>
          <w:rFonts w:ascii="Segoe UI" w:eastAsia="Times New Roman" w:hAnsi="Segoe UI" w:cs="Segoe UI"/>
          <w:sz w:val="23"/>
          <w:szCs w:val="23"/>
        </w:rPr>
        <w:t>: Despite increased research on fantasy sports betting, there's a gap in understanding the nuanced ways emotional and psychological factors intersect with themes like addiction, risk behaviors, and market strategies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Impact of Modern Betting Products on Motivation</w:t>
      </w:r>
      <w:r w:rsidRPr="001C35E7">
        <w:rPr>
          <w:rFonts w:ascii="Segoe UI" w:eastAsia="Times New Roman" w:hAnsi="Segoe UI" w:cs="Segoe UI"/>
          <w:sz w:val="23"/>
          <w:szCs w:val="23"/>
        </w:rPr>
        <w:t>: The potential for modern sports betting products to enhance gambling motivations through the frequency of 'near-misses' is an important area for future investigation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'Near-misses' can increase motivation to continue gambling and are often programmed to appear more frequently in electronic gaming machines (EGMs)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Cash-out features in sports betting could also increase perceived near-misses, creating situations where a losing bet might have hypothetically yielded a profit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8"/>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b/>
          <w:bCs/>
          <w:sz w:val="23"/>
          <w:szCs w:val="23"/>
          <w:bdr w:val="single" w:sz="2" w:space="0" w:color="E4E6E8" w:frame="1"/>
        </w:rPr>
        <w:t>Identifying Underexplored Areas</w:t>
      </w:r>
      <w:r w:rsidRPr="001C35E7">
        <w:rPr>
          <w:rFonts w:ascii="Segoe UI" w:eastAsia="Times New Roman" w:hAnsi="Segoe UI" w:cs="Segoe UI"/>
          <w:sz w:val="23"/>
          <w:szCs w:val="23"/>
        </w:rPr>
        <w:t>: A bibliometric study is suggested as instrumental for mapping existing literature, identifying underexplored areas, and guiding future research to address these gaps comprehensively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Overall, the identified limitations highlight the need for broader geographical coverage, inclusion of newer research, and experimental designs that better mimic real-world conditions. The gaps point towards a need for deeper exploration into psychological aspects of betting and the impact of specific product features on gambling motivation.</w:t>
      </w:r>
    </w:p>
    <w:p w:rsidR="001C35E7" w:rsidRDefault="001C35E7"/>
    <w:p w:rsidR="001C35E7" w:rsidRDefault="001C35E7"/>
    <w:p w:rsidR="001C35E7" w:rsidRDefault="001C35E7"/>
    <w:p w:rsidR="001C35E7" w:rsidRDefault="001C35E7"/>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1C35E7">
        <w:rPr>
          <w:rFonts w:ascii="Segoe UI" w:eastAsia="Times New Roman" w:hAnsi="Segoe UI" w:cs="Segoe UI"/>
          <w:b/>
          <w:bCs/>
          <w:sz w:val="30"/>
          <w:szCs w:val="30"/>
        </w:rPr>
        <w:t>Future Directions for Policy and Research</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Future directions for policy and research in the area of gambling behaviors and their consequences emphasize the need for evolving regulatory frameworks and continued research to inform these practices.</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Policy Evolution and Regulatory Updates</w:t>
      </w:r>
    </w:p>
    <w:p w:rsidR="001C35E7" w:rsidRPr="001C35E7" w:rsidRDefault="001C35E7" w:rsidP="001C35E7">
      <w:pPr>
        <w:numPr>
          <w:ilvl w:val="0"/>
          <w:numId w:val="4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lastRenderedPageBreak/>
        <w:t>Regulatory frameworks must evolve to address emerging issues, balancing innovation with responsible gambling practices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Regulations require constant updating to tackle new threats, including online platforms and novel forms of betting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Research contributions are crucial for informing regulatory practices and interventions, with the goal of reducing gambling-related harms and promoting responsible gambling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1C35E7">
        <w:rPr>
          <w:rFonts w:ascii="Segoe UI" w:eastAsia="Times New Roman" w:hAnsi="Segoe UI" w:cs="Segoe UI"/>
          <w:b/>
          <w:bCs/>
          <w:sz w:val="27"/>
          <w:szCs w:val="27"/>
        </w:rPr>
        <w:t>Research Trends and Publication Activity</w:t>
      </w:r>
    </w:p>
    <w:p w:rsidR="001C35E7" w:rsidRPr="001C35E7" w:rsidRDefault="001C35E7" w:rsidP="001C35E7">
      <w:pPr>
        <w:numPr>
          <w:ilvl w:val="0"/>
          <w:numId w:val="4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Research interest in this field has increased significantly over the years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The most prolific years for publications were 2021 (34 publications), 2020 (33 publications), and 2022 (31 publications), indicating a peak in scholarly attention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Based on current trends and data up to March 2024, the publication count for the 2020-2024 interval is anticipated to increase substantially by the end of the year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9</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10</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numPr>
          <w:ilvl w:val="0"/>
          <w:numId w:val="4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1C35E7">
        <w:rPr>
          <w:rFonts w:ascii="Segoe UI" w:eastAsia="Times New Roman" w:hAnsi="Segoe UI" w:cs="Segoe UI"/>
          <w:sz w:val="23"/>
          <w:szCs w:val="23"/>
        </w:rPr>
        <w:t>Examples of publication dates within this period include April 8, 2021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11</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12</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2020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13</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14</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and April 10, 2024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15</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16</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A future publication is also noted for July 26, 2025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17</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 </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bdr w:val="single" w:sz="2" w:space="0" w:color="E4E6E8" w:frame="1"/>
        </w:rPr>
        <w:t>18</w:t>
      </w:r>
      <w:r w:rsidRPr="001C35E7">
        <w:rPr>
          <w:rFonts w:ascii="Segoe UI" w:eastAsia="Times New Roman" w:hAnsi="Segoe UI" w:cs="Segoe UI"/>
          <w:b/>
          <w:bCs/>
          <w:sz w:val="23"/>
          <w:szCs w:val="23"/>
          <w:bdr w:val="single" w:sz="2" w:space="0" w:color="E4E6E8" w:frame="1"/>
        </w:rPr>
        <w:t>]</w:t>
      </w:r>
      <w:r w:rsidRPr="001C35E7">
        <w:rPr>
          <w:rFonts w:ascii="Segoe UI" w:eastAsia="Times New Roman" w:hAnsi="Segoe UI" w:cs="Segoe UI"/>
          <w:sz w:val="23"/>
          <w:szCs w:val="23"/>
        </w:rPr>
        <w:t>.</w:t>
      </w:r>
    </w:p>
    <w:p w:rsidR="001C35E7" w:rsidRPr="001C35E7" w:rsidRDefault="001C35E7" w:rsidP="001C35E7">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1C35E7">
        <w:rPr>
          <w:rFonts w:ascii="Segoe UI" w:eastAsia="Times New Roman" w:hAnsi="Segoe UI" w:cs="Segoe UI"/>
          <w:sz w:val="23"/>
          <w:szCs w:val="23"/>
        </w:rPr>
        <w:t>In summary, both policy and research in this domain are dynamic, requiring continuous adaptation of regulations to new challenges and sustained scholarly investigation to guide effective, responsible practices.</w:t>
      </w:r>
    </w:p>
    <w:p w:rsidR="001C35E7" w:rsidRDefault="001C35E7"/>
    <w:p w:rsidR="00D62EB8" w:rsidRDefault="00D62EB8"/>
    <w:p w:rsidR="00D62EB8" w:rsidRDefault="00D62EB8"/>
    <w:p w:rsidR="00D62EB8" w:rsidRDefault="00D62EB8"/>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D62EB8">
        <w:rPr>
          <w:rFonts w:ascii="Segoe UI" w:eastAsia="Times New Roman" w:hAnsi="Segoe UI" w:cs="Segoe UI"/>
          <w:b/>
          <w:bCs/>
          <w:sz w:val="30"/>
          <w:szCs w:val="30"/>
        </w:rPr>
        <w:t>Summary of Key Findings in Gambling Research</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D62EB8">
        <w:rPr>
          <w:rFonts w:ascii="Segoe UI" w:eastAsia="Times New Roman" w:hAnsi="Segoe UI" w:cs="Segoe UI"/>
          <w:sz w:val="23"/>
          <w:szCs w:val="23"/>
        </w:rPr>
        <w:t>Research into gambling behavior and its impacts spans several key areas, focusing on safety, psychological effects, and regulatory considerations.</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Core Research Areas and Themes</w:t>
      </w:r>
    </w:p>
    <w:p w:rsidR="00D62EB8" w:rsidRPr="00D62EB8" w:rsidRDefault="00D62EB8" w:rsidP="00D62EB8">
      <w:pPr>
        <w:numPr>
          <w:ilvl w:val="0"/>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Enhancing Gambling Safety and Behavioral Influences</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Studies explore the effectiveness of safer gambling messages and their design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2</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Research investigates the addictive traits of betting features and the impact of technology, such as smartphones, on gambling behaviors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2</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lastRenderedPageBreak/>
        <w:t>The influence of early big wins on gambling addiction, risks associated with online gambling environments, and the effects of modern online sports wagering are primary investigation areas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3</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4</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The research aims to inform regulatory practices and interventions to reduce gambling-related harms and promote responsible gambling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5</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6</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Psychological Impacts and Behavioral Dynamics</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Research delves into the psychology behind gambling behavior, how rewards influence it, and methods to minimize betting addiction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7</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8</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Some studies indicate that impulsiveness combined with motivation can lead to addiction to sports gambling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7</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8</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A significant period between 2005 and 2009 saw increased investigation into the psychological effects of online gambling, driven by technological advances and societal concerns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9</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10</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Key themes include analyzing the psychological and emotional consequences of fantasy sports betting behavior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11</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12</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Advertising, Regulation, and Public Health Interventions</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Core research examines the effectiveness of current advertising regulations and the psychological impact of persuasive communication on different demographic groups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13</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14</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Developing strategies for public health interventions is also a key focus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13</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14</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1"/>
          <w:numId w:val="49"/>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Overall, research clusters investigate gambling with a focus on regulatory impacts, psychological effects, and advertising influences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15</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16</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Geographical Scope and Limitations</w:t>
      </w:r>
    </w:p>
    <w:p w:rsidR="00D62EB8" w:rsidRPr="00D62EB8" w:rsidRDefault="00D62EB8" w:rsidP="00D62EB8">
      <w:pPr>
        <w:numPr>
          <w:ilvl w:val="0"/>
          <w:numId w:val="5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A majority of the analyzed studies originate from Western countries, specifically the United States, the United Kingdom, and Australia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17</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18</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0"/>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sz w:val="23"/>
          <w:szCs w:val="23"/>
        </w:rPr>
        <w:t>This geographical concentration raises concerns about the applicability of findings to regions with significantly different gambling cultures or regulatory frameworks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17</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18</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D62EB8">
        <w:rPr>
          <w:rFonts w:ascii="Segoe UI" w:eastAsia="Times New Roman" w:hAnsi="Segoe UI" w:cs="Segoe UI"/>
          <w:sz w:val="23"/>
          <w:szCs w:val="23"/>
        </w:rPr>
        <w:t>In summary, the key findings highlight a comprehensive research effort to understand the multifaceted nature of gambling, encompassing its psychological underpinnings, the impact of technology and advertising, and the development of strategies for safer gambling and public health interventions. However, a notable limitation is the geographical bias in the existing research, which may affect the generalizability of findings.</w:t>
      </w:r>
    </w:p>
    <w:p w:rsidR="00D62EB8" w:rsidRDefault="00D62EB8"/>
    <w:p w:rsidR="00D62EB8" w:rsidRDefault="00D62EB8"/>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D62EB8">
        <w:rPr>
          <w:rFonts w:ascii="Segoe UI" w:eastAsia="Times New Roman" w:hAnsi="Segoe UI" w:cs="Segoe UI"/>
          <w:b/>
          <w:bCs/>
          <w:sz w:val="30"/>
          <w:szCs w:val="30"/>
        </w:rPr>
        <w:t>Implications for Stakeholders</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D62EB8">
        <w:rPr>
          <w:rFonts w:ascii="Segoe UI" w:eastAsia="Times New Roman" w:hAnsi="Segoe UI" w:cs="Segoe UI"/>
          <w:sz w:val="23"/>
          <w:szCs w:val="23"/>
        </w:rPr>
        <w:lastRenderedPageBreak/>
        <w:t>Various stakeholders face distinct implications stemming from the dynamics of gambling, particularly concerning problem gambling, wagering incentives, and societal perceptions.</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For Industry Stakeholders and Wagering Operators</w:t>
      </w:r>
    </w:p>
    <w:p w:rsidR="00D62EB8" w:rsidRPr="00D62EB8" w:rsidRDefault="00D62EB8" w:rsidP="00D62EB8">
      <w:pPr>
        <w:numPr>
          <w:ilvl w:val="0"/>
          <w:numId w:val="5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Addressing Negative Perceptions</w:t>
      </w:r>
      <w:r w:rsidRPr="00D62EB8">
        <w:rPr>
          <w:rFonts w:ascii="Segoe UI" w:eastAsia="Times New Roman" w:hAnsi="Segoe UI" w:cs="Segoe UI"/>
          <w:sz w:val="23"/>
          <w:szCs w:val="23"/>
        </w:rPr>
        <w:t>: Industry stakeholders must actively respond to negative public opinion, such as that found on platforms like r/</w:t>
      </w:r>
      <w:proofErr w:type="spellStart"/>
      <w:r w:rsidRPr="00D62EB8">
        <w:rPr>
          <w:rFonts w:ascii="Segoe UI" w:eastAsia="Times New Roman" w:hAnsi="Segoe UI" w:cs="Segoe UI"/>
          <w:sz w:val="23"/>
          <w:szCs w:val="23"/>
        </w:rPr>
        <w:t>problemgambling</w:t>
      </w:r>
      <w:proofErr w:type="spellEnd"/>
      <w:r w:rsidRPr="00D62EB8">
        <w:rPr>
          <w:rFonts w:ascii="Segoe UI" w:eastAsia="Times New Roman" w:hAnsi="Segoe UI" w:cs="Segoe UI"/>
          <w:sz w:val="23"/>
          <w:szCs w:val="23"/>
        </w:rPr>
        <w:t>, by implementing responsible gambling initiatives, allocating resources, and building a positive image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2</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Incentivizing Risky Behavior</w:t>
      </w:r>
      <w:r w:rsidRPr="00D62EB8">
        <w:rPr>
          <w:rFonts w:ascii="Segoe UI" w:eastAsia="Times New Roman" w:hAnsi="Segoe UI" w:cs="Segoe UI"/>
          <w:sz w:val="23"/>
          <w:szCs w:val="23"/>
        </w:rPr>
        <w:t>: Wagering operators often incentivize complex and risky bets, which are difficult for bettors to estimate and are associated with low odds of winning. This strategy increases gambling losses for bettors and amplifies operator profits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3</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4</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Profit Amplification</w:t>
      </w:r>
      <w:r w:rsidRPr="00D62EB8">
        <w:rPr>
          <w:rFonts w:ascii="Segoe UI" w:eastAsia="Times New Roman" w:hAnsi="Segoe UI" w:cs="Segoe UI"/>
          <w:sz w:val="23"/>
          <w:szCs w:val="23"/>
        </w:rPr>
        <w:t>: Inducements can effectively pay for themselves by encouraging riskier bets, thereby increasing operators' profits while simultaneously increasing gamblers' losses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5</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1"/>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Complex Conditions</w:t>
      </w:r>
      <w:r w:rsidRPr="00D62EB8">
        <w:rPr>
          <w:rFonts w:ascii="Segoe UI" w:eastAsia="Times New Roman" w:hAnsi="Segoe UI" w:cs="Segoe UI"/>
          <w:sz w:val="23"/>
          <w:szCs w:val="23"/>
        </w:rPr>
        <w:t>: Operators may include complex play-through conditions that diminish the value of incentives or require new money stakes, negating their perceived worth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6</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7</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For Bettors and Gamblers</w:t>
      </w:r>
    </w:p>
    <w:p w:rsidR="00D62EB8" w:rsidRPr="00D62EB8" w:rsidRDefault="00D62EB8" w:rsidP="00D62EB8">
      <w:pPr>
        <w:numPr>
          <w:ilvl w:val="0"/>
          <w:numId w:val="5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Increased Losses from Risky Bets</w:t>
      </w:r>
      <w:r w:rsidRPr="00D62EB8">
        <w:rPr>
          <w:rFonts w:ascii="Segoe UI" w:eastAsia="Times New Roman" w:hAnsi="Segoe UI" w:cs="Segoe UI"/>
          <w:sz w:val="23"/>
          <w:szCs w:val="23"/>
        </w:rPr>
        <w:t>: Incentives can encourage bettors to engage in riskier propositions, leading to a greater number of losing bettors. High-risk bets, especially in a commercial environment where returns are negative for the gambler, result in greater gambling losses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8</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9</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Player Harm</w:t>
      </w:r>
      <w:r w:rsidRPr="00D62EB8">
        <w:rPr>
          <w:rFonts w:ascii="Segoe UI" w:eastAsia="Times New Roman" w:hAnsi="Segoe UI" w:cs="Segoe UI"/>
          <w:sz w:val="23"/>
          <w:szCs w:val="23"/>
        </w:rPr>
        <w:t>: The long-term consequence of risky betting is an increased number of gamblers in a losing position, which contributes to player harm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10</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11</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Low Awareness</w:t>
      </w:r>
      <w:r w:rsidRPr="00D62EB8">
        <w:rPr>
          <w:rFonts w:ascii="Segoe UI" w:eastAsia="Times New Roman" w:hAnsi="Segoe UI" w:cs="Segoe UI"/>
          <w:sz w:val="23"/>
          <w:szCs w:val="23"/>
        </w:rPr>
        <w:t>: Bettors often have low awareness of online gaming laws, regulations, financial fraud risks, and the possibility of victimhood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12</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13</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2"/>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No Influence of Problem Gambling Status</w:t>
      </w:r>
      <w:r w:rsidRPr="00D62EB8">
        <w:rPr>
          <w:rFonts w:ascii="Segoe UI" w:eastAsia="Times New Roman" w:hAnsi="Segoe UI" w:cs="Segoe UI"/>
          <w:sz w:val="23"/>
          <w:szCs w:val="23"/>
        </w:rPr>
        <w:t>: There is no evidence that a gambler's problem gambling status influences their choice of inducement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14</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15</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For Society and Policymakers</w:t>
      </w:r>
    </w:p>
    <w:p w:rsidR="00D62EB8" w:rsidRPr="00D62EB8" w:rsidRDefault="00D62EB8" w:rsidP="00D62EB8">
      <w:pPr>
        <w:numPr>
          <w:ilvl w:val="0"/>
          <w:numId w:val="5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Shifting Public Opinion</w:t>
      </w:r>
      <w:r w:rsidRPr="00D62EB8">
        <w:rPr>
          <w:rFonts w:ascii="Segoe UI" w:eastAsia="Times New Roman" w:hAnsi="Segoe UI" w:cs="Segoe UI"/>
          <w:sz w:val="23"/>
          <w:szCs w:val="23"/>
        </w:rPr>
        <w:t>: Highlighting positive outcomes of legalization, such as reduced corruption and increased public welfare funding, can help shift public opinion. Engaging community leaders, religious organizations, and policymakers in open dialogues can build consensus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16</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17</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Alleviating Apprehensions</w:t>
      </w:r>
      <w:r w:rsidRPr="00D62EB8">
        <w:rPr>
          <w:rFonts w:ascii="Segoe UI" w:eastAsia="Times New Roman" w:hAnsi="Segoe UI" w:cs="Segoe UI"/>
          <w:sz w:val="23"/>
          <w:szCs w:val="23"/>
        </w:rPr>
        <w:t>: Emphasizing responsible gambling and stringent safeguards can alleviate societal concerns regarding gambling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16</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17</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lastRenderedPageBreak/>
        <w:t>Combating Corruption</w:t>
      </w:r>
      <w:r w:rsidRPr="00D62EB8">
        <w:rPr>
          <w:rFonts w:ascii="Segoe UI" w:eastAsia="Times New Roman" w:hAnsi="Segoe UI" w:cs="Segoe UI"/>
          <w:sz w:val="23"/>
          <w:szCs w:val="23"/>
        </w:rPr>
        <w:t>: The fear of match-fixing is a significant barrier to legalization, but lessons from countries like the UK and Australia demonstrate that this risk can be mitigated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18</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19</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3"/>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Social Consequences</w:t>
      </w:r>
      <w:r w:rsidRPr="00D62EB8">
        <w:rPr>
          <w:rFonts w:ascii="Segoe UI" w:eastAsia="Times New Roman" w:hAnsi="Segoe UI" w:cs="Segoe UI"/>
          <w:sz w:val="23"/>
          <w:szCs w:val="23"/>
        </w:rPr>
        <w:t>: Widespread access to betting can lead to severe social consequences, including domestic violence and financial distress due to gambling debts, impacting families and communities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20</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D62EB8">
        <w:rPr>
          <w:rFonts w:ascii="Segoe UI" w:eastAsia="Times New Roman" w:hAnsi="Segoe UI" w:cs="Segoe UI"/>
          <w:sz w:val="23"/>
          <w:szCs w:val="23"/>
        </w:rPr>
        <w:t>In conclusion, stakeholders across the gambling ecosystem face complex challenges and opportunities. Industry players must prioritize responsible practices, while policymakers and societal groups need to engage in dialogue and implement safeguards to mitigate harm and leverage potential benefits, such as increased public welfare funding, while addressing the negative impacts on individuals and communities.</w:t>
      </w:r>
    </w:p>
    <w:p w:rsidR="00D62EB8" w:rsidRDefault="00D62EB8"/>
    <w:p w:rsidR="00D62EB8" w:rsidRDefault="00D62EB8"/>
    <w:p w:rsidR="00D62EB8" w:rsidRDefault="00D62EB8"/>
    <w:p w:rsidR="00D62EB8" w:rsidRDefault="00D62EB8"/>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375" w:lineRule="atLeast"/>
        <w:outlineLvl w:val="1"/>
        <w:rPr>
          <w:rFonts w:ascii="Segoe UI" w:eastAsia="Times New Roman" w:hAnsi="Segoe UI" w:cs="Segoe UI"/>
          <w:b/>
          <w:bCs/>
          <w:sz w:val="30"/>
          <w:szCs w:val="30"/>
        </w:rPr>
      </w:pPr>
      <w:r w:rsidRPr="00D62EB8">
        <w:rPr>
          <w:rFonts w:ascii="Segoe UI" w:eastAsia="Times New Roman" w:hAnsi="Segoe UI" w:cs="Segoe UI"/>
          <w:b/>
          <w:bCs/>
          <w:sz w:val="30"/>
          <w:szCs w:val="30"/>
        </w:rPr>
        <w:t>Recommendations for Future Research</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D62EB8">
        <w:rPr>
          <w:rFonts w:ascii="Segoe UI" w:eastAsia="Times New Roman" w:hAnsi="Segoe UI" w:cs="Segoe UI"/>
          <w:sz w:val="23"/>
          <w:szCs w:val="23"/>
        </w:rPr>
        <w:t>Future research can build upon existing studies by exploring new methodologies, expanding theoretical frameworks, and addressing specific areas of concern, particularly in the context of consumer behavior and gambling-related issues.</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Methodological and Theoretical Extensions</w:t>
      </w:r>
    </w:p>
    <w:p w:rsidR="00D62EB8" w:rsidRPr="00D62EB8" w:rsidRDefault="00D62EB8" w:rsidP="00D62EB8">
      <w:pPr>
        <w:numPr>
          <w:ilvl w:val="0"/>
          <w:numId w:val="5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Alternative Research Methods</w:t>
      </w:r>
      <w:r w:rsidRPr="00D62EB8">
        <w:rPr>
          <w:rFonts w:ascii="Segoe UI" w:eastAsia="Times New Roman" w:hAnsi="Segoe UI" w:cs="Segoe UI"/>
          <w:sz w:val="23"/>
          <w:szCs w:val="23"/>
        </w:rPr>
        <w:t>: Future researchers could employ experimental designs based on observation to assess the impact of advertising-related attributes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Theoretical Model Expansion</w:t>
      </w:r>
      <w:r w:rsidRPr="00D62EB8">
        <w:rPr>
          <w:rFonts w:ascii="Segoe UI" w:eastAsia="Times New Roman" w:hAnsi="Segoe UI" w:cs="Segoe UI"/>
          <w:sz w:val="23"/>
          <w:szCs w:val="23"/>
        </w:rPr>
        <w:t>: Studies can be extended by integrating established models such as the Technology Acceptance Model, Unified Theory of Uses and Acceptance of Technology, and Uses and Gratification Theory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1</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Longitudinal Studies</w:t>
      </w:r>
      <w:r w:rsidRPr="00D62EB8">
        <w:rPr>
          <w:rFonts w:ascii="Segoe UI" w:eastAsia="Times New Roman" w:hAnsi="Segoe UI" w:cs="Segoe UI"/>
          <w:sz w:val="23"/>
          <w:szCs w:val="23"/>
        </w:rPr>
        <w:t>: As consumer behavior evolves for specific products, longitudinal studies would be beneficial for observing and analyzing changes in behavior over time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2</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4"/>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Bibliometric Studies</w:t>
      </w:r>
      <w:r w:rsidRPr="00D62EB8">
        <w:rPr>
          <w:rFonts w:ascii="Segoe UI" w:eastAsia="Times New Roman" w:hAnsi="Segoe UI" w:cs="Segoe UI"/>
          <w:sz w:val="23"/>
          <w:szCs w:val="23"/>
        </w:rPr>
        <w:t>: Conducting bibliometric analyses can help map existing literature, pinpoint underexplored areas, and guide future research to comprehensively fill knowledge gaps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3</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Addressing Gambling-Related Issues</w:t>
      </w:r>
    </w:p>
    <w:p w:rsidR="00D62EB8" w:rsidRPr="00D62EB8" w:rsidRDefault="00D62EB8" w:rsidP="00D62EB8">
      <w:pPr>
        <w:numPr>
          <w:ilvl w:val="0"/>
          <w:numId w:val="5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lastRenderedPageBreak/>
        <w:t>Psychological Interventions</w:t>
      </w:r>
      <w:r w:rsidRPr="00D62EB8">
        <w:rPr>
          <w:rFonts w:ascii="Segoe UI" w:eastAsia="Times New Roman" w:hAnsi="Segoe UI" w:cs="Segoe UI"/>
          <w:sz w:val="23"/>
          <w:szCs w:val="23"/>
        </w:rPr>
        <w:t>: There is a need for increased intervention measures and a deeper psychological understanding to effectively address gambling-related cognitive distortions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4</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numPr>
          <w:ilvl w:val="0"/>
          <w:numId w:val="55"/>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Regulatory Practices and Interventions</w:t>
      </w:r>
      <w:r w:rsidRPr="00D62EB8">
        <w:rPr>
          <w:rFonts w:ascii="Segoe UI" w:eastAsia="Times New Roman" w:hAnsi="Segoe UI" w:cs="Segoe UI"/>
          <w:sz w:val="23"/>
          <w:szCs w:val="23"/>
        </w:rPr>
        <w:t>: Future research should contribute to informing regulatory practices and interventions aimed at reducing gambling-related harms and promoting responsible gambling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5</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outlineLvl w:val="2"/>
        <w:rPr>
          <w:rFonts w:ascii="Segoe UI" w:eastAsia="Times New Roman" w:hAnsi="Segoe UI" w:cs="Segoe UI"/>
          <w:b/>
          <w:bCs/>
          <w:sz w:val="27"/>
          <w:szCs w:val="27"/>
        </w:rPr>
      </w:pPr>
      <w:r w:rsidRPr="00D62EB8">
        <w:rPr>
          <w:rFonts w:ascii="Segoe UI" w:eastAsia="Times New Roman" w:hAnsi="Segoe UI" w:cs="Segoe UI"/>
          <w:b/>
          <w:bCs/>
          <w:sz w:val="27"/>
          <w:szCs w:val="27"/>
        </w:rPr>
        <w:t>Contextual Insights</w:t>
      </w:r>
    </w:p>
    <w:p w:rsidR="00D62EB8" w:rsidRPr="00D62EB8" w:rsidRDefault="00D62EB8" w:rsidP="00D62EB8">
      <w:pPr>
        <w:numPr>
          <w:ilvl w:val="0"/>
          <w:numId w:val="56"/>
        </w:numPr>
        <w:pBdr>
          <w:top w:val="single" w:sz="2" w:space="0" w:color="E4E6E8"/>
          <w:left w:val="single" w:sz="2" w:space="0" w:color="E4E6E8"/>
          <w:bottom w:val="single" w:sz="2" w:space="0" w:color="E4E6E8"/>
          <w:right w:val="single" w:sz="2" w:space="0" w:color="E4E6E8"/>
        </w:pBdr>
        <w:shd w:val="clear" w:color="auto" w:fill="EBF5FA"/>
        <w:spacing w:beforeAutospacing="1" w:after="0" w:afterAutospacing="1" w:line="240" w:lineRule="auto"/>
        <w:ind w:left="0"/>
        <w:rPr>
          <w:rFonts w:ascii="Segoe UI" w:eastAsia="Times New Roman" w:hAnsi="Segoe UI" w:cs="Segoe UI"/>
          <w:sz w:val="23"/>
          <w:szCs w:val="23"/>
        </w:rPr>
      </w:pPr>
      <w:r w:rsidRPr="00D62EB8">
        <w:rPr>
          <w:rFonts w:ascii="Segoe UI" w:eastAsia="Times New Roman" w:hAnsi="Segoe UI" w:cs="Segoe UI"/>
          <w:b/>
          <w:bCs/>
          <w:sz w:val="23"/>
          <w:szCs w:val="23"/>
          <w:bdr w:val="single" w:sz="2" w:space="0" w:color="E4E6E8" w:frame="1"/>
        </w:rPr>
        <w:t>Increased Research Interest</w:t>
      </w:r>
      <w:r w:rsidRPr="00D62EB8">
        <w:rPr>
          <w:rFonts w:ascii="Segoe UI" w:eastAsia="Times New Roman" w:hAnsi="Segoe UI" w:cs="Segoe UI"/>
          <w:sz w:val="23"/>
          <w:szCs w:val="23"/>
        </w:rPr>
        <w:t>: The years 2021, 2020, and 2022 saw a significant increase in research interest, with 34, 33, and 31 publications respectively, indicating a heightened academic and societal concern over gambling behaviors and their consequences </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bdr w:val="single" w:sz="2" w:space="0" w:color="E4E6E8" w:frame="1"/>
        </w:rPr>
        <w:t>6</w:t>
      </w:r>
      <w:r w:rsidRPr="00D62EB8">
        <w:rPr>
          <w:rFonts w:ascii="Segoe UI" w:eastAsia="Times New Roman" w:hAnsi="Segoe UI" w:cs="Segoe UI"/>
          <w:b/>
          <w:bCs/>
          <w:sz w:val="23"/>
          <w:szCs w:val="23"/>
          <w:bdr w:val="single" w:sz="2" w:space="0" w:color="E4E6E8" w:frame="1"/>
        </w:rPr>
        <w:t>]</w:t>
      </w:r>
      <w:r w:rsidRPr="00D62EB8">
        <w:rPr>
          <w:rFonts w:ascii="Segoe UI" w:eastAsia="Times New Roman" w:hAnsi="Segoe UI" w:cs="Segoe UI"/>
          <w:sz w:val="23"/>
          <w:szCs w:val="23"/>
        </w:rPr>
        <w:t>.</w:t>
      </w:r>
    </w:p>
    <w:p w:rsidR="00D62EB8" w:rsidRPr="00D62EB8" w:rsidRDefault="00D62EB8" w:rsidP="00D62EB8">
      <w:pPr>
        <w:pBdr>
          <w:top w:val="single" w:sz="2" w:space="0" w:color="E4E6E8"/>
          <w:left w:val="single" w:sz="2" w:space="0" w:color="E4E6E8"/>
          <w:bottom w:val="single" w:sz="2" w:space="0" w:color="E4E6E8"/>
          <w:right w:val="single" w:sz="2" w:space="0" w:color="E4E6E8"/>
        </w:pBdr>
        <w:shd w:val="clear" w:color="auto" w:fill="EBF5FA"/>
        <w:spacing w:before="100" w:beforeAutospacing="1" w:after="100" w:afterAutospacing="1" w:line="240" w:lineRule="auto"/>
        <w:rPr>
          <w:rFonts w:ascii="Segoe UI" w:eastAsia="Times New Roman" w:hAnsi="Segoe UI" w:cs="Segoe UI"/>
          <w:sz w:val="23"/>
          <w:szCs w:val="23"/>
        </w:rPr>
      </w:pPr>
      <w:r w:rsidRPr="00D62EB8">
        <w:rPr>
          <w:rFonts w:ascii="Segoe UI" w:eastAsia="Times New Roman" w:hAnsi="Segoe UI" w:cs="Segoe UI"/>
          <w:sz w:val="23"/>
          <w:szCs w:val="23"/>
        </w:rPr>
        <w:t>In summary, future research should focus on diversifying methodologies, integrating comprehensive theoretical frameworks, and specifically targeting the psychological and regulatory aspects of consumer behavior and gambling to address existing gaps and inform effective interventions.</w:t>
      </w:r>
    </w:p>
    <w:p w:rsidR="00D62EB8" w:rsidRDefault="00D62EB8">
      <w:bookmarkStart w:id="0" w:name="_GoBack"/>
      <w:bookmarkEnd w:id="0"/>
    </w:p>
    <w:sectPr w:rsidR="00D62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6786C"/>
    <w:multiLevelType w:val="multilevel"/>
    <w:tmpl w:val="2E6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2323C"/>
    <w:multiLevelType w:val="multilevel"/>
    <w:tmpl w:val="CB1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EE6"/>
    <w:multiLevelType w:val="multilevel"/>
    <w:tmpl w:val="5D6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B5449"/>
    <w:multiLevelType w:val="multilevel"/>
    <w:tmpl w:val="860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25292"/>
    <w:multiLevelType w:val="multilevel"/>
    <w:tmpl w:val="E34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9742A"/>
    <w:multiLevelType w:val="multilevel"/>
    <w:tmpl w:val="8AD4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6606C"/>
    <w:multiLevelType w:val="multilevel"/>
    <w:tmpl w:val="8F0A1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F6C78"/>
    <w:multiLevelType w:val="multilevel"/>
    <w:tmpl w:val="EEF8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536E3"/>
    <w:multiLevelType w:val="multilevel"/>
    <w:tmpl w:val="DB2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043A0"/>
    <w:multiLevelType w:val="multilevel"/>
    <w:tmpl w:val="262C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617C1"/>
    <w:multiLevelType w:val="multilevel"/>
    <w:tmpl w:val="EDA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934AE"/>
    <w:multiLevelType w:val="multilevel"/>
    <w:tmpl w:val="838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D4062"/>
    <w:multiLevelType w:val="multilevel"/>
    <w:tmpl w:val="848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F7DCE"/>
    <w:multiLevelType w:val="multilevel"/>
    <w:tmpl w:val="211E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600BD"/>
    <w:multiLevelType w:val="multilevel"/>
    <w:tmpl w:val="DE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663BE"/>
    <w:multiLevelType w:val="multilevel"/>
    <w:tmpl w:val="8384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94C07"/>
    <w:multiLevelType w:val="multilevel"/>
    <w:tmpl w:val="DE28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3634E"/>
    <w:multiLevelType w:val="multilevel"/>
    <w:tmpl w:val="E35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62AA6"/>
    <w:multiLevelType w:val="multilevel"/>
    <w:tmpl w:val="9AB0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44E26"/>
    <w:multiLevelType w:val="multilevel"/>
    <w:tmpl w:val="A940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07ADA"/>
    <w:multiLevelType w:val="multilevel"/>
    <w:tmpl w:val="BAE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037328"/>
    <w:multiLevelType w:val="multilevel"/>
    <w:tmpl w:val="2D04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8C23AA"/>
    <w:multiLevelType w:val="multilevel"/>
    <w:tmpl w:val="EF8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9A7811"/>
    <w:multiLevelType w:val="multilevel"/>
    <w:tmpl w:val="0236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A12AB"/>
    <w:multiLevelType w:val="multilevel"/>
    <w:tmpl w:val="D7E4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32F4D"/>
    <w:multiLevelType w:val="multilevel"/>
    <w:tmpl w:val="A7A8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83961"/>
    <w:multiLevelType w:val="multilevel"/>
    <w:tmpl w:val="0CF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D1193"/>
    <w:multiLevelType w:val="multilevel"/>
    <w:tmpl w:val="D77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42C2A"/>
    <w:multiLevelType w:val="multilevel"/>
    <w:tmpl w:val="0F7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64DDF"/>
    <w:multiLevelType w:val="multilevel"/>
    <w:tmpl w:val="3D2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F521D"/>
    <w:multiLevelType w:val="multilevel"/>
    <w:tmpl w:val="B36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FA4A92"/>
    <w:multiLevelType w:val="multilevel"/>
    <w:tmpl w:val="FA30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E01C7"/>
    <w:multiLevelType w:val="multilevel"/>
    <w:tmpl w:val="A95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4A4618"/>
    <w:multiLevelType w:val="multilevel"/>
    <w:tmpl w:val="B51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3A0248"/>
    <w:multiLevelType w:val="multilevel"/>
    <w:tmpl w:val="41F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587133"/>
    <w:multiLevelType w:val="multilevel"/>
    <w:tmpl w:val="040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EA104A"/>
    <w:multiLevelType w:val="multilevel"/>
    <w:tmpl w:val="310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92113"/>
    <w:multiLevelType w:val="multilevel"/>
    <w:tmpl w:val="3FC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942BBB"/>
    <w:multiLevelType w:val="multilevel"/>
    <w:tmpl w:val="9A9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6658FF"/>
    <w:multiLevelType w:val="multilevel"/>
    <w:tmpl w:val="EE3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E50B6D"/>
    <w:multiLevelType w:val="multilevel"/>
    <w:tmpl w:val="2A9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DF664F"/>
    <w:multiLevelType w:val="multilevel"/>
    <w:tmpl w:val="7CB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9634D0"/>
    <w:multiLevelType w:val="multilevel"/>
    <w:tmpl w:val="A30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0C22C3"/>
    <w:multiLevelType w:val="multilevel"/>
    <w:tmpl w:val="9DD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B62AEF"/>
    <w:multiLevelType w:val="multilevel"/>
    <w:tmpl w:val="BEA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BA4FCF"/>
    <w:multiLevelType w:val="multilevel"/>
    <w:tmpl w:val="EBD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632F2"/>
    <w:multiLevelType w:val="multilevel"/>
    <w:tmpl w:val="61D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A258D2"/>
    <w:multiLevelType w:val="multilevel"/>
    <w:tmpl w:val="5CE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4B0710"/>
    <w:multiLevelType w:val="multilevel"/>
    <w:tmpl w:val="37D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37100D"/>
    <w:multiLevelType w:val="multilevel"/>
    <w:tmpl w:val="0AA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E744E"/>
    <w:multiLevelType w:val="multilevel"/>
    <w:tmpl w:val="656C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33865"/>
    <w:multiLevelType w:val="multilevel"/>
    <w:tmpl w:val="7A2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272DF8"/>
    <w:multiLevelType w:val="multilevel"/>
    <w:tmpl w:val="62D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F90A9F"/>
    <w:multiLevelType w:val="multilevel"/>
    <w:tmpl w:val="496C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BD12B5"/>
    <w:multiLevelType w:val="multilevel"/>
    <w:tmpl w:val="AB1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A642DC"/>
    <w:multiLevelType w:val="multilevel"/>
    <w:tmpl w:val="6DC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3"/>
  </w:num>
  <w:num w:numId="4">
    <w:abstractNumId w:val="14"/>
  </w:num>
  <w:num w:numId="5">
    <w:abstractNumId w:val="16"/>
  </w:num>
  <w:num w:numId="6">
    <w:abstractNumId w:val="53"/>
  </w:num>
  <w:num w:numId="7">
    <w:abstractNumId w:val="23"/>
  </w:num>
  <w:num w:numId="8">
    <w:abstractNumId w:val="21"/>
  </w:num>
  <w:num w:numId="9">
    <w:abstractNumId w:val="36"/>
  </w:num>
  <w:num w:numId="10">
    <w:abstractNumId w:val="45"/>
  </w:num>
  <w:num w:numId="11">
    <w:abstractNumId w:val="26"/>
  </w:num>
  <w:num w:numId="12">
    <w:abstractNumId w:val="24"/>
  </w:num>
  <w:num w:numId="13">
    <w:abstractNumId w:val="29"/>
  </w:num>
  <w:num w:numId="14">
    <w:abstractNumId w:val="39"/>
  </w:num>
  <w:num w:numId="15">
    <w:abstractNumId w:val="30"/>
  </w:num>
  <w:num w:numId="16">
    <w:abstractNumId w:val="51"/>
  </w:num>
  <w:num w:numId="17">
    <w:abstractNumId w:val="1"/>
  </w:num>
  <w:num w:numId="18">
    <w:abstractNumId w:val="54"/>
  </w:num>
  <w:num w:numId="19">
    <w:abstractNumId w:val="38"/>
  </w:num>
  <w:num w:numId="20">
    <w:abstractNumId w:val="17"/>
  </w:num>
  <w:num w:numId="21">
    <w:abstractNumId w:val="27"/>
  </w:num>
  <w:num w:numId="22">
    <w:abstractNumId w:val="5"/>
  </w:num>
  <w:num w:numId="23">
    <w:abstractNumId w:val="46"/>
  </w:num>
  <w:num w:numId="24">
    <w:abstractNumId w:val="42"/>
  </w:num>
  <w:num w:numId="25">
    <w:abstractNumId w:val="15"/>
  </w:num>
  <w:num w:numId="26">
    <w:abstractNumId w:val="7"/>
  </w:num>
  <w:num w:numId="27">
    <w:abstractNumId w:val="35"/>
  </w:num>
  <w:num w:numId="28">
    <w:abstractNumId w:val="0"/>
  </w:num>
  <w:num w:numId="29">
    <w:abstractNumId w:val="50"/>
  </w:num>
  <w:num w:numId="30">
    <w:abstractNumId w:val="22"/>
  </w:num>
  <w:num w:numId="31">
    <w:abstractNumId w:val="41"/>
  </w:num>
  <w:num w:numId="32">
    <w:abstractNumId w:val="33"/>
  </w:num>
  <w:num w:numId="33">
    <w:abstractNumId w:val="31"/>
  </w:num>
  <w:num w:numId="34">
    <w:abstractNumId w:val="34"/>
  </w:num>
  <w:num w:numId="35">
    <w:abstractNumId w:val="28"/>
  </w:num>
  <w:num w:numId="36">
    <w:abstractNumId w:val="25"/>
  </w:num>
  <w:num w:numId="37">
    <w:abstractNumId w:val="32"/>
  </w:num>
  <w:num w:numId="38">
    <w:abstractNumId w:val="55"/>
  </w:num>
  <w:num w:numId="39">
    <w:abstractNumId w:val="3"/>
  </w:num>
  <w:num w:numId="40">
    <w:abstractNumId w:val="48"/>
  </w:num>
  <w:num w:numId="41">
    <w:abstractNumId w:val="47"/>
  </w:num>
  <w:num w:numId="42">
    <w:abstractNumId w:val="43"/>
  </w:num>
  <w:num w:numId="43">
    <w:abstractNumId w:val="2"/>
  </w:num>
  <w:num w:numId="44">
    <w:abstractNumId w:val="44"/>
  </w:num>
  <w:num w:numId="45">
    <w:abstractNumId w:val="11"/>
  </w:num>
  <w:num w:numId="46">
    <w:abstractNumId w:val="19"/>
  </w:num>
  <w:num w:numId="47">
    <w:abstractNumId w:val="40"/>
  </w:num>
  <w:num w:numId="48">
    <w:abstractNumId w:val="20"/>
  </w:num>
  <w:num w:numId="49">
    <w:abstractNumId w:val="6"/>
  </w:num>
  <w:num w:numId="50">
    <w:abstractNumId w:val="18"/>
  </w:num>
  <w:num w:numId="51">
    <w:abstractNumId w:val="52"/>
  </w:num>
  <w:num w:numId="52">
    <w:abstractNumId w:val="12"/>
  </w:num>
  <w:num w:numId="53">
    <w:abstractNumId w:val="4"/>
  </w:num>
  <w:num w:numId="54">
    <w:abstractNumId w:val="9"/>
  </w:num>
  <w:num w:numId="55">
    <w:abstractNumId w:val="49"/>
  </w:num>
  <w:num w:numId="56">
    <w:abstractNumId w:val="3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814"/>
    <w:rsid w:val="001C35E7"/>
    <w:rsid w:val="00476814"/>
    <w:rsid w:val="0057515D"/>
    <w:rsid w:val="00D62E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F9D56D-A17D-4061-90AE-0FCF1F11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68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68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68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681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68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814"/>
    <w:rPr>
      <w:b/>
      <w:bCs/>
    </w:rPr>
  </w:style>
  <w:style w:type="character" w:customStyle="1" w:styleId="inline-flex">
    <w:name w:val="inline-flex"/>
    <w:basedOn w:val="DefaultParagraphFont"/>
    <w:rsid w:val="00476814"/>
  </w:style>
  <w:style w:type="character" w:customStyle="1" w:styleId="katex-mathml">
    <w:name w:val="katex-mathml"/>
    <w:basedOn w:val="DefaultParagraphFont"/>
    <w:rsid w:val="00476814"/>
  </w:style>
  <w:style w:type="character" w:customStyle="1" w:styleId="mord">
    <w:name w:val="mord"/>
    <w:basedOn w:val="DefaultParagraphFont"/>
    <w:rsid w:val="00476814"/>
  </w:style>
  <w:style w:type="character" w:customStyle="1" w:styleId="mpunct">
    <w:name w:val="mpunct"/>
    <w:basedOn w:val="DefaultParagraphFont"/>
    <w:rsid w:val="00476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339109">
      <w:bodyDiv w:val="1"/>
      <w:marLeft w:val="0"/>
      <w:marRight w:val="0"/>
      <w:marTop w:val="0"/>
      <w:marBottom w:val="0"/>
      <w:divBdr>
        <w:top w:val="none" w:sz="0" w:space="0" w:color="auto"/>
        <w:left w:val="none" w:sz="0" w:space="0" w:color="auto"/>
        <w:bottom w:val="none" w:sz="0" w:space="0" w:color="auto"/>
        <w:right w:val="none" w:sz="0" w:space="0" w:color="auto"/>
      </w:divBdr>
    </w:div>
    <w:div w:id="246185824">
      <w:bodyDiv w:val="1"/>
      <w:marLeft w:val="0"/>
      <w:marRight w:val="0"/>
      <w:marTop w:val="0"/>
      <w:marBottom w:val="0"/>
      <w:divBdr>
        <w:top w:val="none" w:sz="0" w:space="0" w:color="auto"/>
        <w:left w:val="none" w:sz="0" w:space="0" w:color="auto"/>
        <w:bottom w:val="none" w:sz="0" w:space="0" w:color="auto"/>
        <w:right w:val="none" w:sz="0" w:space="0" w:color="auto"/>
      </w:divBdr>
    </w:div>
    <w:div w:id="378015745">
      <w:bodyDiv w:val="1"/>
      <w:marLeft w:val="0"/>
      <w:marRight w:val="0"/>
      <w:marTop w:val="0"/>
      <w:marBottom w:val="0"/>
      <w:divBdr>
        <w:top w:val="none" w:sz="0" w:space="0" w:color="auto"/>
        <w:left w:val="none" w:sz="0" w:space="0" w:color="auto"/>
        <w:bottom w:val="none" w:sz="0" w:space="0" w:color="auto"/>
        <w:right w:val="none" w:sz="0" w:space="0" w:color="auto"/>
      </w:divBdr>
    </w:div>
    <w:div w:id="396632646">
      <w:bodyDiv w:val="1"/>
      <w:marLeft w:val="0"/>
      <w:marRight w:val="0"/>
      <w:marTop w:val="0"/>
      <w:marBottom w:val="0"/>
      <w:divBdr>
        <w:top w:val="none" w:sz="0" w:space="0" w:color="auto"/>
        <w:left w:val="none" w:sz="0" w:space="0" w:color="auto"/>
        <w:bottom w:val="none" w:sz="0" w:space="0" w:color="auto"/>
        <w:right w:val="none" w:sz="0" w:space="0" w:color="auto"/>
      </w:divBdr>
    </w:div>
    <w:div w:id="548809130">
      <w:bodyDiv w:val="1"/>
      <w:marLeft w:val="0"/>
      <w:marRight w:val="0"/>
      <w:marTop w:val="0"/>
      <w:marBottom w:val="0"/>
      <w:divBdr>
        <w:top w:val="none" w:sz="0" w:space="0" w:color="auto"/>
        <w:left w:val="none" w:sz="0" w:space="0" w:color="auto"/>
        <w:bottom w:val="none" w:sz="0" w:space="0" w:color="auto"/>
        <w:right w:val="none" w:sz="0" w:space="0" w:color="auto"/>
      </w:divBdr>
    </w:div>
    <w:div w:id="699088509">
      <w:bodyDiv w:val="1"/>
      <w:marLeft w:val="0"/>
      <w:marRight w:val="0"/>
      <w:marTop w:val="0"/>
      <w:marBottom w:val="0"/>
      <w:divBdr>
        <w:top w:val="none" w:sz="0" w:space="0" w:color="auto"/>
        <w:left w:val="none" w:sz="0" w:space="0" w:color="auto"/>
        <w:bottom w:val="none" w:sz="0" w:space="0" w:color="auto"/>
        <w:right w:val="none" w:sz="0" w:space="0" w:color="auto"/>
      </w:divBdr>
    </w:div>
    <w:div w:id="850145600">
      <w:bodyDiv w:val="1"/>
      <w:marLeft w:val="0"/>
      <w:marRight w:val="0"/>
      <w:marTop w:val="0"/>
      <w:marBottom w:val="0"/>
      <w:divBdr>
        <w:top w:val="none" w:sz="0" w:space="0" w:color="auto"/>
        <w:left w:val="none" w:sz="0" w:space="0" w:color="auto"/>
        <w:bottom w:val="none" w:sz="0" w:space="0" w:color="auto"/>
        <w:right w:val="none" w:sz="0" w:space="0" w:color="auto"/>
      </w:divBdr>
    </w:div>
    <w:div w:id="871529898">
      <w:bodyDiv w:val="1"/>
      <w:marLeft w:val="0"/>
      <w:marRight w:val="0"/>
      <w:marTop w:val="0"/>
      <w:marBottom w:val="0"/>
      <w:divBdr>
        <w:top w:val="none" w:sz="0" w:space="0" w:color="auto"/>
        <w:left w:val="none" w:sz="0" w:space="0" w:color="auto"/>
        <w:bottom w:val="none" w:sz="0" w:space="0" w:color="auto"/>
        <w:right w:val="none" w:sz="0" w:space="0" w:color="auto"/>
      </w:divBdr>
    </w:div>
    <w:div w:id="980770566">
      <w:bodyDiv w:val="1"/>
      <w:marLeft w:val="0"/>
      <w:marRight w:val="0"/>
      <w:marTop w:val="0"/>
      <w:marBottom w:val="0"/>
      <w:divBdr>
        <w:top w:val="none" w:sz="0" w:space="0" w:color="auto"/>
        <w:left w:val="none" w:sz="0" w:space="0" w:color="auto"/>
        <w:bottom w:val="none" w:sz="0" w:space="0" w:color="auto"/>
        <w:right w:val="none" w:sz="0" w:space="0" w:color="auto"/>
      </w:divBdr>
    </w:div>
    <w:div w:id="1056591851">
      <w:bodyDiv w:val="1"/>
      <w:marLeft w:val="0"/>
      <w:marRight w:val="0"/>
      <w:marTop w:val="0"/>
      <w:marBottom w:val="0"/>
      <w:divBdr>
        <w:top w:val="none" w:sz="0" w:space="0" w:color="auto"/>
        <w:left w:val="none" w:sz="0" w:space="0" w:color="auto"/>
        <w:bottom w:val="none" w:sz="0" w:space="0" w:color="auto"/>
        <w:right w:val="none" w:sz="0" w:space="0" w:color="auto"/>
      </w:divBdr>
    </w:div>
    <w:div w:id="1064912911">
      <w:bodyDiv w:val="1"/>
      <w:marLeft w:val="0"/>
      <w:marRight w:val="0"/>
      <w:marTop w:val="0"/>
      <w:marBottom w:val="0"/>
      <w:divBdr>
        <w:top w:val="none" w:sz="0" w:space="0" w:color="auto"/>
        <w:left w:val="none" w:sz="0" w:space="0" w:color="auto"/>
        <w:bottom w:val="none" w:sz="0" w:space="0" w:color="auto"/>
        <w:right w:val="none" w:sz="0" w:space="0" w:color="auto"/>
      </w:divBdr>
    </w:div>
    <w:div w:id="1134788536">
      <w:bodyDiv w:val="1"/>
      <w:marLeft w:val="0"/>
      <w:marRight w:val="0"/>
      <w:marTop w:val="0"/>
      <w:marBottom w:val="0"/>
      <w:divBdr>
        <w:top w:val="none" w:sz="0" w:space="0" w:color="auto"/>
        <w:left w:val="none" w:sz="0" w:space="0" w:color="auto"/>
        <w:bottom w:val="none" w:sz="0" w:space="0" w:color="auto"/>
        <w:right w:val="none" w:sz="0" w:space="0" w:color="auto"/>
      </w:divBdr>
    </w:div>
    <w:div w:id="1203398845">
      <w:bodyDiv w:val="1"/>
      <w:marLeft w:val="0"/>
      <w:marRight w:val="0"/>
      <w:marTop w:val="0"/>
      <w:marBottom w:val="0"/>
      <w:divBdr>
        <w:top w:val="none" w:sz="0" w:space="0" w:color="auto"/>
        <w:left w:val="none" w:sz="0" w:space="0" w:color="auto"/>
        <w:bottom w:val="none" w:sz="0" w:space="0" w:color="auto"/>
        <w:right w:val="none" w:sz="0" w:space="0" w:color="auto"/>
      </w:divBdr>
    </w:div>
    <w:div w:id="1288003515">
      <w:bodyDiv w:val="1"/>
      <w:marLeft w:val="0"/>
      <w:marRight w:val="0"/>
      <w:marTop w:val="0"/>
      <w:marBottom w:val="0"/>
      <w:divBdr>
        <w:top w:val="none" w:sz="0" w:space="0" w:color="auto"/>
        <w:left w:val="none" w:sz="0" w:space="0" w:color="auto"/>
        <w:bottom w:val="none" w:sz="0" w:space="0" w:color="auto"/>
        <w:right w:val="none" w:sz="0" w:space="0" w:color="auto"/>
      </w:divBdr>
    </w:div>
    <w:div w:id="1399091396">
      <w:bodyDiv w:val="1"/>
      <w:marLeft w:val="0"/>
      <w:marRight w:val="0"/>
      <w:marTop w:val="0"/>
      <w:marBottom w:val="0"/>
      <w:divBdr>
        <w:top w:val="none" w:sz="0" w:space="0" w:color="auto"/>
        <w:left w:val="none" w:sz="0" w:space="0" w:color="auto"/>
        <w:bottom w:val="none" w:sz="0" w:space="0" w:color="auto"/>
        <w:right w:val="none" w:sz="0" w:space="0" w:color="auto"/>
      </w:divBdr>
    </w:div>
    <w:div w:id="1515074365">
      <w:bodyDiv w:val="1"/>
      <w:marLeft w:val="0"/>
      <w:marRight w:val="0"/>
      <w:marTop w:val="0"/>
      <w:marBottom w:val="0"/>
      <w:divBdr>
        <w:top w:val="none" w:sz="0" w:space="0" w:color="auto"/>
        <w:left w:val="none" w:sz="0" w:space="0" w:color="auto"/>
        <w:bottom w:val="none" w:sz="0" w:space="0" w:color="auto"/>
        <w:right w:val="none" w:sz="0" w:space="0" w:color="auto"/>
      </w:divBdr>
    </w:div>
    <w:div w:id="1600409386">
      <w:bodyDiv w:val="1"/>
      <w:marLeft w:val="0"/>
      <w:marRight w:val="0"/>
      <w:marTop w:val="0"/>
      <w:marBottom w:val="0"/>
      <w:divBdr>
        <w:top w:val="none" w:sz="0" w:space="0" w:color="auto"/>
        <w:left w:val="none" w:sz="0" w:space="0" w:color="auto"/>
        <w:bottom w:val="none" w:sz="0" w:space="0" w:color="auto"/>
        <w:right w:val="none" w:sz="0" w:space="0" w:color="auto"/>
      </w:divBdr>
    </w:div>
    <w:div w:id="1666930443">
      <w:bodyDiv w:val="1"/>
      <w:marLeft w:val="0"/>
      <w:marRight w:val="0"/>
      <w:marTop w:val="0"/>
      <w:marBottom w:val="0"/>
      <w:divBdr>
        <w:top w:val="none" w:sz="0" w:space="0" w:color="auto"/>
        <w:left w:val="none" w:sz="0" w:space="0" w:color="auto"/>
        <w:bottom w:val="none" w:sz="0" w:space="0" w:color="auto"/>
        <w:right w:val="none" w:sz="0" w:space="0" w:color="auto"/>
      </w:divBdr>
    </w:div>
    <w:div w:id="1908420597">
      <w:bodyDiv w:val="1"/>
      <w:marLeft w:val="0"/>
      <w:marRight w:val="0"/>
      <w:marTop w:val="0"/>
      <w:marBottom w:val="0"/>
      <w:divBdr>
        <w:top w:val="none" w:sz="0" w:space="0" w:color="auto"/>
        <w:left w:val="none" w:sz="0" w:space="0" w:color="auto"/>
        <w:bottom w:val="none" w:sz="0" w:space="0" w:color="auto"/>
        <w:right w:val="none" w:sz="0" w:space="0" w:color="auto"/>
      </w:divBdr>
    </w:div>
    <w:div w:id="1935433428">
      <w:bodyDiv w:val="1"/>
      <w:marLeft w:val="0"/>
      <w:marRight w:val="0"/>
      <w:marTop w:val="0"/>
      <w:marBottom w:val="0"/>
      <w:divBdr>
        <w:top w:val="none" w:sz="0" w:space="0" w:color="auto"/>
        <w:left w:val="none" w:sz="0" w:space="0" w:color="auto"/>
        <w:bottom w:val="none" w:sz="0" w:space="0" w:color="auto"/>
        <w:right w:val="none" w:sz="0" w:space="0" w:color="auto"/>
      </w:divBdr>
    </w:div>
    <w:div w:id="208471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8269</Words>
  <Characters>47135</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2025-09-17T15:39:00Z</dcterms:created>
  <dcterms:modified xsi:type="dcterms:W3CDTF">2025-09-17T16:06:00Z</dcterms:modified>
</cp:coreProperties>
</file>