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40"/>
          <w:szCs w:val="40"/>
        </w:rPr>
        <w:t xml:space="preserve">Healthcare Billing Audit &amp; Insurance Fairness Analysis</w:t>
      </w:r>
    </w:p>
    <w:p>
      <w:pPr>
        <w:spacing w:after="300"/>
        <w:jc w:val="center"/>
      </w:pPr>
      <w:r>
        <w:rPr>
          <w:i/>
          <w:iCs/>
          <w:color w:val="555555"/>
          <w:sz w:val="22"/>
          <w:szCs w:val="22"/>
        </w:rPr>
        <w:t xml:space="preserve">A Data Analytics Case Study | Excel · Power BI</w:t>
      </w:r>
    </w:p>
    <w:p>
      <w:pPr>
        <w:pStyle w:val="Heading1"/>
        <w:pBdr>
          <w:bottom w:val="single" w:color="1F4E5F" w:sz="6" w:space="4"/>
        </w:pBdr>
        <w:spacing w:after="150" w:before="300"/>
      </w:pPr>
      <w:r>
        <w:rPr>
          <w:b/>
          <w:bCs/>
          <w:color w:val="1F4E5F"/>
          <w:sz w:val="28"/>
          <w:szCs w:val="28"/>
        </w:rPr>
        <w:t xml:space="preserve">1. Overview</w:t>
      </w:r>
    </w:p>
    <w:p>
      <w:pPr>
        <w:spacing w:after="160"/>
      </w:pPr>
      <w:r>
        <w:rPr>
          <w:sz w:val="22"/>
          <w:szCs w:val="22"/>
        </w:rPr>
        <w:t xml:space="preserve">This project analyzes 40,235 patient billing records from a hospital dataset to identify statistically abnormal charges and to test whether a patient's insurance provider is associated with differences in billing amount. The goal was to simulate the kind of billing-integrity audit a hospital finance or compliance team would run.</w:t>
      </w:r>
    </w:p>
    <w:p>
      <w:pPr>
        <w:pStyle w:val="Heading1"/>
        <w:pBdr>
          <w:bottom w:val="single" w:color="1F4E5F" w:sz="6" w:space="4"/>
        </w:pBdr>
        <w:spacing w:after="150" w:before="300"/>
      </w:pPr>
      <w:r>
        <w:rPr>
          <w:b/>
          <w:bCs/>
          <w:color w:val="1F4E5F"/>
          <w:sz w:val="28"/>
          <w:szCs w:val="28"/>
        </w:rPr>
        <w:t xml:space="preserve">2. Business Problem</w:t>
      </w:r>
    </w:p>
    <w:p>
      <w:pPr>
        <w:spacing w:after="160"/>
      </w:pPr>
      <w:r>
        <w:rPr>
          <w:sz w:val="22"/>
          <w:szCs w:val="22"/>
        </w:rPr>
        <w:t xml:space="preserve">Hospitals routinely face two risks in billing: (1) inconsistent or erroneous charges that go unnoticed without systematic review, and (2) potential bias where the amount billed depends on who is paying (a specific insurance provider) rather than the service delivered. Left unchecked, either issue creates financial and reputational risk.</w:t>
      </w:r>
    </w:p>
    <w:p>
      <w:pPr>
        <w:pStyle w:val="ListParagraph"/>
        <w:numPr>
          <w:ilvl w:val="0"/>
          <w:numId w:val="1"/>
        </w:numPr>
        <w:spacing w:after="100"/>
      </w:pPr>
      <w:r>
        <w:rPr>
          <w:b w:val="false"/>
          <w:bCs w:val="false"/>
          <w:sz w:val="22"/>
          <w:szCs w:val="22"/>
        </w:rPr>
        <w:t xml:space="preserve">Question 1: Which billing amounts are statistically abnormal for their medical condition, and how many patients does this affect?</w:t>
      </w:r>
    </w:p>
    <w:p>
      <w:pPr>
        <w:pStyle w:val="ListParagraph"/>
        <w:numPr>
          <w:ilvl w:val="0"/>
          <w:numId w:val="1"/>
        </w:numPr>
        <w:spacing w:after="100"/>
      </w:pPr>
      <w:r>
        <w:rPr>
          <w:b w:val="false"/>
          <w:bCs w:val="false"/>
          <w:sz w:val="22"/>
          <w:szCs w:val="22"/>
        </w:rPr>
        <w:t xml:space="preserve">Question 2: Does average billing vary meaningfully by insurance provider for the same medical condition?</w:t>
      </w:r>
    </w:p>
    <w:p>
      <w:pPr>
        <w:pStyle w:val="Heading1"/>
        <w:pBdr>
          <w:bottom w:val="single" w:color="1F4E5F" w:sz="6" w:space="4"/>
        </w:pBdr>
        <w:spacing w:after="150" w:before="300"/>
      </w:pPr>
      <w:r>
        <w:rPr>
          <w:b/>
          <w:bCs/>
          <w:color w:val="1F4E5F"/>
          <w:sz w:val="28"/>
          <w:szCs w:val="28"/>
        </w:rPr>
        <w:t xml:space="preserve">3. Data &amp; Method</w:t>
      </w:r>
    </w:p>
    <w:p>
      <w:pPr>
        <w:spacing w:after="160"/>
      </w:pPr>
      <w:r>
        <w:rPr>
          <w:sz w:val="22"/>
          <w:szCs w:val="22"/>
        </w:rPr>
        <w:t xml:space="preserve">Dataset: ~55,000 patient records (post de-duplication) covering demographics, medical condition, insurance provider, doctor, hospital, admission details, and billing amount.</w:t>
      </w:r>
    </w:p>
    <w:p>
      <w:pPr>
        <w:pStyle w:val="ListParagraph"/>
        <w:numPr>
          <w:ilvl w:val="0"/>
          <w:numId w:val="1"/>
        </w:numPr>
        <w:spacing w:after="100"/>
      </w:pPr>
      <w:r>
        <w:rPr>
          <w:b w:val="false"/>
          <w:bCs w:val="false"/>
          <w:sz w:val="22"/>
          <w:szCs w:val="22"/>
        </w:rPr>
        <w:t xml:space="preserve">Cleaned inconsistent name formatting and removed duplicate records in Excel.</w:t>
      </w:r>
    </w:p>
    <w:p>
      <w:pPr>
        <w:pStyle w:val="ListParagraph"/>
        <w:numPr>
          <w:ilvl w:val="0"/>
          <w:numId w:val="1"/>
        </w:numPr>
        <w:spacing w:after="100"/>
      </w:pPr>
      <w:r>
        <w:rPr>
          <w:b w:val="false"/>
          <w:bCs w:val="false"/>
          <w:sz w:val="22"/>
          <w:szCs w:val="22"/>
        </w:rPr>
        <w:t xml:space="preserve">Calculated the average and standard deviation of Billing Amount for each Medical Condition.</w:t>
      </w:r>
    </w:p>
    <w:p>
      <w:pPr>
        <w:pStyle w:val="ListParagraph"/>
        <w:numPr>
          <w:ilvl w:val="0"/>
          <w:numId w:val="1"/>
        </w:numPr>
        <w:spacing w:after="100"/>
      </w:pPr>
      <w:r>
        <w:rPr>
          <w:b w:val="false"/>
          <w:bCs w:val="false"/>
          <w:sz w:val="22"/>
          <w:szCs w:val="22"/>
        </w:rPr>
        <w:t xml:space="preserve">Computed a Z-Score per patient to flag deviation from their condition's average — then switched to a percentile-based method (top/bottom 5%) after finding the dataset's billing values were uniformly distributed, making Z-scores an unreliable flag for this data.</w:t>
      </w:r>
    </w:p>
    <w:p>
      <w:pPr>
        <w:pStyle w:val="ListParagraph"/>
        <w:numPr>
          <w:ilvl w:val="0"/>
          <w:numId w:val="1"/>
        </w:numPr>
        <w:spacing w:after="100"/>
      </w:pPr>
      <w:r>
        <w:rPr>
          <w:b w:val="false"/>
          <w:bCs w:val="false"/>
          <w:sz w:val="22"/>
          <w:szCs w:val="22"/>
        </w:rPr>
        <w:t xml:space="preserve">Built a Power BI dashboard with KPI cards, a condition-wise billing chart, an insurance-provider billing chart, and an outlier distribution view, with interactive slicers.</w:t>
      </w:r>
    </w:p>
    <w:p>
      <w:pPr>
        <w:pStyle w:val="Heading1"/>
        <w:pBdr>
          <w:bottom w:val="single" w:color="1F4E5F" w:sz="6" w:space="4"/>
        </w:pBdr>
        <w:spacing w:after="150" w:before="300"/>
      </w:pPr>
      <w:r>
        <w:rPr>
          <w:b/>
          <w:bCs/>
          <w:color w:val="1F4E5F"/>
          <w:sz w:val="28"/>
          <w:szCs w:val="28"/>
        </w:rPr>
        <w:t xml:space="preserve">4. Key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pct" w:w="25%"/>
            <w:shd w:fill="EAF1F3" w:val="clear"/>
            <w:tcMar>
              <w:top w:type="dxa" w:w="150"/>
              <w:left w:type="dxa" w:w="150"/>
              <w:bottom w:type="dxa" w:w="150"/>
              <w:right w:type="dxa" w:w="150"/>
            </w:tcMar>
          </w:tcPr>
          <w:p>
            <w:pPr>
              <w:jc w:val="center"/>
            </w:pPr>
            <w:r>
              <w:rPr>
                <w:b/>
                <w:bCs/>
                <w:color w:val="1F4E5F"/>
                <w:sz w:val="32"/>
                <w:szCs w:val="32"/>
              </w:rPr>
              <w:t xml:space="preserve">40,235</w:t>
            </w:r>
          </w:p>
          <w:p>
            <w:pPr>
              <w:jc w:val="center"/>
            </w:pPr>
            <w:r>
              <w:rPr>
                <w:sz w:val="18"/>
                <w:szCs w:val="18"/>
              </w:rPr>
              <w:t xml:space="preserve">Total Patients</w:t>
            </w:r>
          </w:p>
        </w:tc>
        <w:tc>
          <w:tcPr>
            <w:tcW w:type="pct" w:w="25%"/>
            <w:shd w:fill="EAF1F3" w:val="clear"/>
            <w:tcMar>
              <w:top w:type="dxa" w:w="150"/>
              <w:left w:type="dxa" w:w="150"/>
              <w:bottom w:type="dxa" w:w="150"/>
              <w:right w:type="dxa" w:w="150"/>
            </w:tcMar>
          </w:tcPr>
          <w:p>
            <w:pPr>
              <w:jc w:val="center"/>
            </w:pPr>
            <w:r>
              <w:rPr>
                <w:b/>
                <w:bCs/>
                <w:color w:val="1F4E5F"/>
                <w:sz w:val="32"/>
                <w:szCs w:val="32"/>
              </w:rPr>
              <w:t xml:space="preserve">₹25,630</w:t>
            </w:r>
          </w:p>
          <w:p>
            <w:pPr>
              <w:jc w:val="center"/>
            </w:pPr>
            <w:r>
              <w:rPr>
                <w:sz w:val="18"/>
                <w:szCs w:val="18"/>
              </w:rPr>
              <w:t xml:space="preserve">Avg. Billing</w:t>
            </w:r>
          </w:p>
        </w:tc>
        <w:tc>
          <w:tcPr>
            <w:tcW w:type="pct" w:w="25%"/>
            <w:shd w:fill="EAF1F3" w:val="clear"/>
            <w:tcMar>
              <w:top w:type="dxa" w:w="150"/>
              <w:left w:type="dxa" w:w="150"/>
              <w:bottom w:type="dxa" w:w="150"/>
              <w:right w:type="dxa" w:w="150"/>
            </w:tcMar>
          </w:tcPr>
          <w:p>
            <w:pPr>
              <w:jc w:val="center"/>
            </w:pPr>
            <w:r>
              <w:rPr>
                <w:b/>
                <w:bCs/>
                <w:color w:val="1F4E5F"/>
                <w:sz w:val="32"/>
                <w:szCs w:val="32"/>
              </w:rPr>
              <w:t xml:space="preserve">2,731</w:t>
            </w:r>
          </w:p>
          <w:p>
            <w:pPr>
              <w:jc w:val="center"/>
            </w:pPr>
            <w:r>
              <w:rPr>
                <w:sz w:val="18"/>
                <w:szCs w:val="18"/>
              </w:rPr>
              <w:t xml:space="preserve">High Outliers</w:t>
            </w:r>
          </w:p>
        </w:tc>
        <w:tc>
          <w:tcPr>
            <w:tcW w:type="pct" w:w="25%"/>
            <w:shd w:fill="EAF1F3" w:val="clear"/>
            <w:tcMar>
              <w:top w:type="dxa" w:w="150"/>
              <w:left w:type="dxa" w:w="150"/>
              <w:bottom w:type="dxa" w:w="150"/>
              <w:right w:type="dxa" w:w="150"/>
            </w:tcMar>
          </w:tcPr>
          <w:p>
            <w:pPr>
              <w:jc w:val="center"/>
            </w:pPr>
            <w:r>
              <w:rPr>
                <w:b/>
                <w:bCs/>
                <w:color w:val="1F4E5F"/>
                <w:sz w:val="32"/>
                <w:szCs w:val="32"/>
              </w:rPr>
              <w:t xml:space="preserve">2,766</w:t>
            </w:r>
          </w:p>
          <w:p>
            <w:pPr>
              <w:jc w:val="center"/>
            </w:pPr>
            <w:r>
              <w:rPr>
                <w:sz w:val="18"/>
                <w:szCs w:val="18"/>
              </w:rPr>
              <w:t xml:space="preserve">Low Outliers</w:t>
            </w:r>
          </w:p>
        </w:tc>
      </w:tr>
    </w:tbl>
    <w:p>
      <w:pPr>
        <w:spacing w:after="200"/>
      </w:pPr>
      <w:r>
        <w:t xml:space="preserve"/>
      </w:r>
    </w:p>
    <w:p>
      <w:pPr>
        <w:pStyle w:val="ListParagraph"/>
        <w:numPr>
          <w:ilvl w:val="0"/>
          <w:numId w:val="1"/>
        </w:numPr>
        <w:spacing w:after="100"/>
      </w:pPr>
      <w:r>
        <w:rPr>
          <w:b/>
          <w:bCs/>
          <w:sz w:val="22"/>
          <w:szCs w:val="22"/>
        </w:rPr>
        <w:t xml:space="preserve">Roughly 10% of all billing records (≈5,497 patients) fall outside the normal range for their medical condition — split almost evenly between unusually high and unusually low charges — flagging a meaningful population for manual billing review.</w:t>
      </w:r>
    </w:p>
    <w:p>
      <w:pPr>
        <w:pStyle w:val="ListParagraph"/>
        <w:numPr>
          <w:ilvl w:val="0"/>
          <w:numId w:val="1"/>
        </w:numPr>
        <w:spacing w:after="100"/>
      </w:pPr>
      <w:r>
        <w:rPr>
          <w:b w:val="false"/>
          <w:bCs w:val="false"/>
          <w:sz w:val="22"/>
          <w:szCs w:val="22"/>
        </w:rPr>
        <w:t xml:space="preserve">Average billing by medical condition ranges narrowly across categories (Asthma, Cancer, Diabetes, Obesity, Hypertension, Arthritis), with no single condition showing an extreme, unexplained spike.</w:t>
      </w:r>
    </w:p>
    <w:p>
      <w:pPr>
        <w:pStyle w:val="ListParagraph"/>
        <w:numPr>
          <w:ilvl w:val="0"/>
          <w:numId w:val="1"/>
        </w:numPr>
        <w:spacing w:after="100"/>
      </w:pPr>
      <w:r>
        <w:rPr>
          <w:b/>
          <w:bCs/>
          <w:sz w:val="22"/>
          <w:szCs w:val="22"/>
        </w:rPr>
        <w:t xml:space="preserve">Average billing by insurance provider (Aetna, Blue Cross, Cigna, Medicare, UnitedHealthcare) stayed within a tight band of roughly ₹24,800–₹26,200 — no provider was billed systematically higher or lower for equivalent care.</w:t>
      </w:r>
    </w:p>
    <w:p>
      <w:pPr>
        <w:pStyle w:val="ListParagraph"/>
        <w:numPr>
          <w:ilvl w:val="0"/>
          <w:numId w:val="1"/>
        </w:numPr>
        <w:spacing w:after="100"/>
      </w:pPr>
      <w:r>
        <w:rPr>
          <w:b w:val="false"/>
          <w:bCs w:val="false"/>
          <w:sz w:val="22"/>
          <w:szCs w:val="22"/>
        </w:rPr>
        <w:t xml:space="preserve">This absence of insurance-linked billing disparity is itself a meaningful compliance finding: it suggests billing in this dataset is not influenced by payer identity.</w:t>
      </w:r>
    </w:p>
    <w:p>
      <w:pPr>
        <w:pStyle w:val="Heading1"/>
        <w:pBdr>
          <w:bottom w:val="single" w:color="1F4E5F" w:sz="6" w:space="4"/>
        </w:pBdr>
        <w:spacing w:after="150" w:before="300"/>
      </w:pPr>
      <w:r>
        <w:rPr>
          <w:b/>
          <w:bCs/>
          <w:color w:val="1F4E5F"/>
          <w:sz w:val="28"/>
          <w:szCs w:val="28"/>
        </w:rPr>
        <w:t xml:space="preserve">5. Recommendations</w:t>
      </w:r>
    </w:p>
    <w:p>
      <w:pPr>
        <w:pStyle w:val="ListParagraph"/>
        <w:numPr>
          <w:ilvl w:val="0"/>
          <w:numId w:val="1"/>
        </w:numPr>
        <w:spacing w:after="100"/>
      </w:pPr>
      <w:r>
        <w:rPr>
          <w:b w:val="false"/>
          <w:bCs w:val="false"/>
          <w:sz w:val="22"/>
          <w:szCs w:val="22"/>
        </w:rPr>
        <w:t xml:space="preserve">Route the ~5,500 flagged outlier records to a manual billing review queue, prioritized by dollar deviation from the condition average.</w:t>
      </w:r>
    </w:p>
    <w:p>
      <w:pPr>
        <w:pStyle w:val="ListParagraph"/>
        <w:numPr>
          <w:ilvl w:val="0"/>
          <w:numId w:val="1"/>
        </w:numPr>
        <w:spacing w:after="100"/>
      </w:pPr>
      <w:r>
        <w:rPr>
          <w:b w:val="false"/>
          <w:bCs w:val="false"/>
          <w:sz w:val="22"/>
          <w:szCs w:val="22"/>
        </w:rPr>
        <w:t xml:space="preserve">Establish an automated monthly refresh of this dashboard so new billing anomalies are caught within weeks, not at year-end audit.</w:t>
      </w:r>
    </w:p>
    <w:p>
      <w:pPr>
        <w:pStyle w:val="ListParagraph"/>
        <w:numPr>
          <w:ilvl w:val="0"/>
          <w:numId w:val="1"/>
        </w:numPr>
        <w:spacing w:after="100"/>
      </w:pPr>
      <w:r>
        <w:rPr>
          <w:b w:val="false"/>
          <w:bCs w:val="false"/>
          <w:sz w:val="22"/>
          <w:szCs w:val="22"/>
        </w:rPr>
        <w:t xml:space="preserve">Periodically re-run the insurance-provider comparison as a standing compliance check, since payer-linked billing bias is a common audit target in healthcare finance.</w:t>
      </w:r>
    </w:p>
    <w:p>
      <w:pPr>
        <w:pStyle w:val="Heading1"/>
        <w:pBdr>
          <w:bottom w:val="single" w:color="1F4E5F" w:sz="6" w:space="4"/>
        </w:pBdr>
        <w:spacing w:after="150" w:before="300"/>
      </w:pPr>
      <w:r>
        <w:rPr>
          <w:b/>
          <w:bCs/>
          <w:color w:val="1F4E5F"/>
          <w:sz w:val="28"/>
          <w:szCs w:val="28"/>
        </w:rPr>
        <w:t xml:space="preserve">6. Business Impact</w:t>
      </w:r>
    </w:p>
    <w:p>
      <w:pPr>
        <w:spacing w:after="160"/>
      </w:pPr>
      <w:r>
        <w:rPr>
          <w:sz w:val="22"/>
          <w:szCs w:val="22"/>
        </w:rPr>
        <w:t xml:space="preserve">If even a fraction of the flagged high-outlier billing amounts reflect coding or entry errors rather than genuine cost variation, correcting them protects both revenue integrity and patient trust. Equally, demonstrating the absence of payer-linked billing bias is valuable documentation for compliance and regulatory reporting.</w:t>
      </w:r>
    </w:p>
    <w:p>
      <w:pPr>
        <w:pStyle w:val="Heading1"/>
        <w:pBdr>
          <w:bottom w:val="single" w:color="1F4E5F" w:sz="6" w:space="4"/>
        </w:pBdr>
        <w:spacing w:after="150" w:before="300"/>
      </w:pPr>
      <w:r>
        <w:rPr>
          <w:b/>
          <w:bCs/>
          <w:color w:val="1F4E5F"/>
          <w:sz w:val="28"/>
          <w:szCs w:val="28"/>
        </w:rPr>
        <w:t xml:space="preserve">7. Tools Used</w:t>
      </w:r>
    </w:p>
    <w:p>
      <w:pPr>
        <w:spacing w:after="160"/>
      </w:pPr>
      <w:r>
        <w:rPr>
          <w:sz w:val="22"/>
          <w:szCs w:val="22"/>
        </w:rPr>
        <w:t xml:space="preserve">Microsoft Excel (data cleaning, AVERAGEIF, STDEV.S, VLOOKUP, PERCENTILE, Pivot Tables)  ·  Power BI (dashboard, DAX aggregations, slicers, data visualization)</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Healthcare Billing Audit —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2026-09-12T08:12:26.583Z</dcterms:created>
  <dcterms:modified xsi:type="dcterms:W3CDTF">2026-09-12T08:12:26.593Z</dcterms:modified>
</cp:coreProperties>
</file>

<file path=docProps/custom.xml><?xml version="1.0" encoding="utf-8"?>
<Properties xmlns="http://schemas.openxmlformats.org/officeDocument/2006/custom-properties" xmlns:vt="http://schemas.openxmlformats.org/officeDocument/2006/docPropsVTypes"/>
</file>