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资产配置策略定量对比报告</w:t>
      </w:r>
    </w:p>
    <w:p>
      <w:pPr>
        <w:spacing w:after="8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智能投顾 3.0 vs 420_static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方案一：指数收益序列对比  |  Version 4.0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智能投顾3.0项目组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一、框架目标</w:t>
      </w:r>
    </w:p>
    <w:p>
      <w:pPr>
        <w:pBdr>
          <w:left w:val="single" w:color="2E75B6" w:sz="6" w:space="8"/>
        </w:pBdr>
        <w:spacing w:after="120" w:before="120"/>
        <w:ind w:left="48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智能投顾 3.0 与 420_static 两套资产配置体系，在 35 类客户画像下，基于统一指数收益序列的策略层配置能力差异。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评估维度覆盖：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收益能力、风险水平、风险收益比（夏普）、风险匹配度（Δσ）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。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本框架不预设智能投顾 3.0 等于某一种具体优化算法。智能投顾 3.0 可以是 MVO、风险平价、带规则约束的优化、目标风险组合、专家规则 + 优化混合框架——本评估比较的是"策略体系结果"，而不是单一算法标签。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二、资产体系（统一口径）</w:t>
      </w:r>
    </w:p>
    <w:p>
      <w:pPr>
        <w:spacing w:after="16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四大类资产：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2400"/>
        <w:gridCol w:w="6038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资产类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定义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指数口径（Total Return）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CASH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现金类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CBA02201（中债货币市场基金可投资债券财富指数）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BOND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固收类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CBOND_NEW_COMPOSITE_WEALTH（中债新综合指数-财富指数）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EQUITY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股票类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CSI300_TR（沪深300全收益指数）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另类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70% × AU9999（上海黄金交易所 Au99.99）+ 30% × NHCI（南华商品指数）</w:t>
            </w:r>
          </w:p>
        </w:tc>
      </w:tr>
    </w:tbl>
    <w:p>
      <w:pPr>
        <w:spacing w:after="120"/>
      </w:pP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月收益率计算：R_i(t) = P_t / P_(t-1) - 1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要求：智能投顾 3.0 与 420_static 必须使用一致的四大类资产口径，不允许一套方案使用不同资产定义进行比较。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三、风险锚体系（统一裁判层）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核心定位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风险锚体系不是用来规定某一类客户"标准上应该买什么组合"，而是用来为不同客户画像定义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统一风险容器（Risk Container）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，并作为智能投顾 3.0 与 420_static 的共同裁判层。</w:t>
      </w:r>
    </w:p>
    <w:p>
      <w:pPr>
        <w:pBdr>
          <w:left w:val="single" w:color="2E75B6" w:sz="6" w:space="8"/>
        </w:pBdr>
        <w:spacing w:after="120" w:before="120"/>
        <w:ind w:left="48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先定义客户能承受多少风险，再评估策略是否把风险用对了。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在智能投顾 3.0 的多引擎架构下，风险锚体系承担三项职责：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事前约束（ex-ante constraint）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：为不同策略引擎提供统一风险边界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事后评估（ex-post evaluation）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：对不同策略结果进行统一适配性评估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横向可比（cross-engine comparability）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：让目标函数不同的策略能够在同一把尺子下比较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核心变量</w:t>
      </w:r>
    </w:p>
    <w:p>
      <w:pPr>
        <w:spacing w:after="8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对于每一个客户画像（risk_level × life_stage），定义：</w:t>
      </w:r>
    </w:p>
    <w:p>
      <w:pPr>
        <w:pBdr>
          <w:top w:val="single" w:color="D1D5DB" w:sz="4"/>
          <w:left w:val="single" w:color="D1D5DB" w:sz="4"/>
          <w:right w:val="single" w:color="D1D5DB" w:sz="4"/>
        </w:pBdr>
        <w:shd w:fill="F5F5F5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σ_cap  ：风险上限 = σ_stage_max × m_risk</w:t>
      </w:r>
    </w:p>
    <w:p>
      <w:pPr>
        <w:pBdr>
          <w:left w:val="single" w:color="D1D5DB" w:sz="4"/>
          <w:right w:val="single" w:color="D1D5DB" w:sz="4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σ_mid  ：风险中枢 = 0.8 × σ_cap（预留 20% 缓冲）</w:t>
      </w:r>
    </w:p>
    <w:p>
      <w:pPr>
        <w:pBdr>
          <w:left w:val="single" w:color="D1D5DB" w:sz="4"/>
          <w:right w:val="single" w:color="D1D5DB" w:sz="4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σ_min  ：风险下限 = 0.6 × σ_cap（低于此值说明风险预算使用不足）</w:t>
      </w:r>
    </w:p>
    <w:p>
      <w:pPr>
        <w:pBdr>
          <w:left w:val="single" w:color="D1D5DB" w:sz="4"/>
          <w:bottom w:val="single" w:color="D1D5DB" w:sz="4"/>
          <w:right w:val="single" w:color="D1D5DB" w:sz="4"/>
        </w:pBdr>
        <w:shd w:fill="F5F5F5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MaxDD  ：最大回撤容忍度（风险红线）</w:t>
      </w:r>
    </w:p>
    <w:p>
      <w:pPr>
        <w:spacing w:after="80"/>
      </w:pP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其中 σ_stage_max 由生命周期决定，m_risk 由风险等级决定，σ_mid 为目标风险中枢。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生命周期波动率上限（σ_stage_max）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3.3.1  总结原则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本表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不是行业统一标准值表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，而是参考 Vanguard、BlackRock 等海外主流 Target-Date Fund 的 glide path 方法论，结合中国市场波动特征与内部回测结果形成的本地化风险预算。核心原则：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生命周期越往后，组合风险预算通常越下降。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这背后主要基于两条逻辑：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年轻阶段 human capital 更高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：未来劳动收入现金流更长，金融资产可以承受更高波动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生命周期后段投资 horizon 更短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：离退休或资金兑现时点更近，承受大回撤后的修复时间更少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3.3.2  设定说明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Vanguard / BlackRock 的启发：行业共识是"年轻时偏增长、临近退休时偏稳健"，但不存在统一波动率数值标准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本项目的处理方式：吸收 glide path 方法论，转译为可执行、可回测、可比较的年化波动率上限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因此需强调：0.16、0.15 等数值属于内部参数化结果，不应表述为行业固定标准</w:t>
      </w:r>
    </w:p>
    <w:p>
      <w:pPr>
        <w:spacing w:after="80"/>
      </w:pPr>
    </w:p>
    <w:p>
      <w:pPr>
        <w:spacing w:after="40" w:before="0"/>
        <w:ind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【术语注释】</w:t>
      </w:r>
    </w:p>
    <w:p>
      <w:pPr>
        <w:spacing w:after="40" w:before="0"/>
        <w:ind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Target-Date Fund（目标日期基金）：围绕未来目标年份进行长期资产配置的基金。</w:t>
      </w:r>
    </w:p>
    <w:p>
      <w:pPr>
        <w:spacing w:after="120" w:before="0"/>
        <w:ind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glide path（风险路径）：组合风险随人生阶段或目标日期变化而逐步下调的配置路径。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3.3.3  生命周期参数表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600"/>
        <w:gridCol w:w="1000"/>
        <w:gridCol w:w="1400"/>
        <w:gridCol w:w="5638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生命周期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代码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σ_stage_max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刚毕业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0.16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积累早期，human capital 高，风险预算较高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单身青年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0.15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仍以长期积累为主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二人世界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S3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0.14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家庭责任上升，风险适度收敛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小孩学前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S4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0.14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现金流支出上升，保持中等风险预算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小孩成年前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0.13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教育与家庭支出压力提升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子女成年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S6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0.12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更接近财富稳态与退休准备阶段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退休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S7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0.08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以保值、回撤控制与流动性管理为主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风险等级乘数（m_risk）与回撤容忍度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生命周期决定风险预算的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基础上限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，风险等级决定客户在该生命周期下愿意承受风险的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强弱程度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。本框架采用"生命周期定上限、风险等级定强度"的两层结构：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600"/>
        <w:gridCol w:w="1400"/>
        <w:gridCol w:w="1400"/>
        <w:gridCol w:w="5238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风险等级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m_risk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MaxDD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0.45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-5%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保守型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C2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0.60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-10%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稳健型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C3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-15%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平衡型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C4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0.90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-20%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进取型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-25%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激进型</w:t>
            </w:r>
          </w:p>
        </w:tc>
      </w:tr>
    </w:tbl>
    <w:p>
      <w:pPr>
        <w:spacing w:after="80"/>
      </w:pP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其中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m_risk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在同一生命周期内部拉开不同风险等级的风险预算；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MaxDD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刻画极端情形下的回撤红线，与年化波动率共同构成"常态风险 + 极端风险"双层约束。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计算示例</w:t>
      </w:r>
    </w:p>
    <w:p>
      <w:pPr>
        <w:spacing w:after="120" w:before="0"/>
        <w:ind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C3 / 二人世界（S3）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：σ_cap = 0.14 × 0.75 = 0.105　→　σ_mid = 0.084　→　σ_min = 0.063</w:t>
      </w:r>
    </w:p>
    <w:p>
      <w:pPr>
        <w:spacing w:after="120" w:before="0"/>
        <w:ind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C1 / 退休（S7）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：σ_cap = 0.08 × 0.45 = 0.036　→　σ_mid = 0.0288　→　σ_min = 0.0216</w:t>
      </w:r>
    </w:p>
    <w:p>
      <w:pPr>
        <w:spacing w:after="120" w:before="0"/>
        <w:ind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C5 / 刚毕业（S1）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：σ_cap = 0.16 × 1.00 = 0.16　→　σ_mid = 0.128　→　σ_min = 0.096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核心设计原则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先定风险容器，再评估配置结果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——风险锚体系定义的是客户适配边界，不是标准答案组合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生命周期与风险等级分层解耦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——生命周期决定基础上限，风险等级决定承受强度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风险匹配优于风险最低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——波动率最低不等于最优，最接近 σ_mid 的组合才更适配客户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行业给方法论，本项目给参数化落地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——方向参考 Target-Date Fund，数值来自本地化校准与内部治理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σ 与 MaxDD 分工明确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——σ 刻画常态风险预算，MaxDD 刻画极端风险红线，避免语义混淆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四、对比方案设计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定义</w:t>
      </w:r>
    </w:p>
    <w:p>
      <w:pPr>
        <w:pBdr>
          <w:left w:val="single" w:color="2E75B6" w:sz="6" w:space="8"/>
        </w:pBdr>
        <w:spacing w:after="120" w:before="120"/>
        <w:ind w:left="48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在不受具体产品噪音、费用、成立时点等因素影响时，智能投顾 3.0 与 420_static 两套策略体系本身的配置能力谁更优。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对比对象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策略 A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：智能投顾 3.0（AI 大模型生成配置权重）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策略 B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：420_static（原 420 体系静态权重）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两者统一映射到四大类资产指数收益序列上进行历史回测。其中 420_static 固定取"增值 + 200W–1000W"客户切片，沿风险等级与生命周期展开为 35 个画像。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客户覆盖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本次对比覆盖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35 类客户画像 = 5 个风险等级（C1–C5）× 7 个生命周期阶段（S1–S7）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，每类画像对应唯一 profile_id（如 C3_S3）。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420_static 客户切片固定为：需求维度→增值；资产规模→200W–1000W。适当性约束如下：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C1：仅 CASH / BOND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C2：CASH / BOND / ALT（无 EQUITY）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C3–C5：CASH / BOND / EQUITY / ALT（全部四类）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时间窗口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 年 / 3 年 / 5 年 / 10 年 / 20 年，均取历史月频数据末尾 N 个月进行回测。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回测逻辑</w:t>
      </w:r>
    </w:p>
    <w:p>
      <w:pPr>
        <w:spacing w:after="20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核心原则：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先统一输入口径，再统一计算规则，最后统一汇总方式。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这样可以确保最终差异主要来自策略配置本身，而不是资产定义、产品噪音或计算方式不同。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19"/>
        <w:gridCol w:w="5400"/>
        <w:gridCol w:w="2119"/>
      </w:tblGrid>
      <w:t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single" w:color="4CAF50" w:sz="6"/>
              <w:left w:val="single" w:color="4CAF50" w:sz="6"/>
              <w:bottom w:val="single" w:color="4CAF50" w:sz="6"/>
              <w:right w:val="single" w:color="4CAF50" w:sz="6"/>
            </w:tcBorders>
            <w:shd w:fill="D0E8C5" w:val="clear"/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22"/>
                <w:szCs w:val="22"/>
              </w:rPr>
              <w:t xml:space="preserve">客户画像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 类：C1–C5（风险等级）× S1–S7（生命周期）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40" w:hRule="exact"/>
        </w:trP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↓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22"/>
                <w:szCs w:val="22"/>
              </w:rPr>
              <w:t xml:space="preserve">两套策略分别生成配置权重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智能投顾 3.0：AI 大模型 / 策略引擎输出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420_static：原 420 体系静态权重映射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40" w:hRule="exact"/>
        </w:trP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↓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9E6" w:val="clear"/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22"/>
                <w:szCs w:val="22"/>
              </w:rPr>
              <w:t xml:space="preserve">统一映射到同一套四大类资产指数月收益序列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CASH  ·  BOND  ·  EQUITY  ·  ALT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40" w:hRule="exact"/>
        </w:trP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↓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22"/>
                <w:szCs w:val="22"/>
              </w:rPr>
              <w:t xml:space="preserve">按回测窗口分别计算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1y  /  3y  /  5y  /  10y  /  20y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40" w:hRule="exact"/>
        </w:trP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↓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22"/>
                <w:szCs w:val="22"/>
              </w:rPr>
              <w:t xml:space="preserve">逐画像计算核心指标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年化收益  ·  年化波动  ·  夏普比率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最大回撤  ·  |Δσ|  ·  MaxDD 红线触碰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40" w:hRule="exact"/>
        </w:trP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↓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22"/>
                <w:szCs w:val="22"/>
              </w:rPr>
              <w:t xml:space="preserve">对 35 个画像横向汇总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40" w:hRule="exact"/>
        </w:trP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↓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↓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正文主表 / 主图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绝对水平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20"/>
                <w:szCs w:val="20"/>
              </w:rPr>
              <w:t xml:space="preserve">胜率表 / 胜率图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相对比较（3.0 vs 420）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对比推导过程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Step 1：生成两套策略的静态权重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对 35 类客户画像分别取得两套策略的四大类资产配置权重。每个画像形成两组可直接回测的权重向量：</w:t>
      </w:r>
    </w:p>
    <w:p>
      <w:pPr>
        <w:pBdr>
          <w:top w:val="single" w:color="D1D5DB" w:sz="4"/>
          <w:left w:val="single" w:color="D1D5DB" w:sz="4"/>
          <w:right w:val="single" w:color="D1D5DB" w:sz="4"/>
        </w:pBdr>
        <w:shd w:fill="F5F5F5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w^(3.0) = [w_cash, w_bond, w_equity, w_alt]</w:t>
      </w:r>
    </w:p>
    <w:p>
      <w:pPr>
        <w:pBdr>
          <w:left w:val="single" w:color="D1D5DB" w:sz="4"/>
          <w:right w:val="single" w:color="D1D5DB" w:sz="4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w^(420) = [w_cash, w_bond, w_equity, w_alt]</w:t>
      </w:r>
    </w:p>
    <w:p>
      <w:pPr>
        <w:pBdr>
          <w:left w:val="single" w:color="D1D5DB" w:sz="4"/>
          <w:bottom w:val="single" w:color="D1D5DB" w:sz="4"/>
          <w:right w:val="single" w:color="D1D5DB" w:sz="4"/>
        </w:pBdr>
        <w:shd w:fill="F5F5F5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Σw_i =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Step 2：统一映射到同一套指数月收益序列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对两套权重，统一使用同一套四大类资产指数月收益率进行组合收益计算：</w:t>
      </w:r>
    </w:p>
    <w:p>
      <w:pPr>
        <w:pBdr>
          <w:top w:val="single" w:color="D1D5DB" w:sz="4"/>
          <w:left w:val="single" w:color="D1D5DB" w:sz="4"/>
          <w:right w:val="single" w:color="D1D5DB" w:sz="4"/>
        </w:pBd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R_p(t) = Σ (w_i × R_i(t))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这一步是整个对比成立的关键——先剥离产品噪音、费用差异、成立时点差异，只保留"资产配置结构本身"的差异。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Step 3：按时间窗口分别回测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对每个画像、每套策略，在 1y / 3y / 5y / 10y / 20y 窗口上分别计算：年化收益、年化波动、夏普比率、最大回撤、风险匹配度（|Δσ|）、是否触及 MaxDD 红线。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Step 4：先算画像明细，再汇总成两类结果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先得到 35 个画像在各时间窗口下的逐画像结果，再向上汇总为两类结果：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绝对水平结果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：看两套策略各自平均表现到什么水平</w:t>
      </w:r>
    </w:p>
    <w:p>
      <w:pPr>
        <w:spacing w:after="80"/>
        <w:ind w:left="720" w:hanging="3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相对比较结果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：看 35 个画像里，3.0 有多少比例优于 420_static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正文需要同时保留两个视角——只放平均值容易掩盖画像间分布差异；只放胜率不能说明绝对表现水平。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五、核心指标定义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绩效指标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600"/>
        <w:gridCol w:w="3200"/>
        <w:gridCol w:w="4838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公式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年化收益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(∏(1+R_t))^(12/T) - 1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月度复利年化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年化波动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std(R_t, ddof=1) × √12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月度标准差年化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夏普比率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mean(R_p(t)-rf(t)) / std(R_p(t)-rf(t), ddof=1) × √12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逐月超额收益法；rf_t 取 CGB_1Y 月化值 (1+CGB_1Y/100)^(1/12)-1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最大回撤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max(peak-trough)/peak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累计收益序列中最大峰谷跌幅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风险匹配指标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3000"/>
        <w:gridCol w:w="5438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公式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Δσ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Vol_ann - σ_mid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组合波动与客户风险中枢偏差；正值偏激进，负值偏保守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|Δσ|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|Vol_ann - σ_mid|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风险匹配度核心指标——越小越匹配客户</w:t>
            </w:r>
          </w:p>
        </w:tc>
      </w:tr>
    </w:tbl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48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不是波动越低越好，而是越接近 σ_mid 越好。σ_mid 代表该客户应有的风险预算占用水平。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对比指标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A. 正文主表：绝对水平指标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指标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含义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平均年化收益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 个画像年化收益的平均值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看整体收益水平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平均夏普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 个画像夏普比率的平均值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看整体风险收益比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平均 |Δσ|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 个画像风险偏离度的平均值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看整体风险匹配程度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exceed_rate_maxdd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 个画像中最大回撤触及红线的比例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看极端风险适配情况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B. 胜率表：相对比较指标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胜率表回答的是：在 35 个客户画像中，3.0 有多少比例优于 420_static。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0"/>
        <w:gridCol w:w="30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公式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收益胜率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P(Return_3.0 &gt; Return_420)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 个画像中 3.0 收益更高的占比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夏普胜率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P(Sharpe_3.0 &gt; Sharpe_420)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 个画像中 3.0 夏普更高的占比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风险匹配胜率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P(|Δσ_3.0| &lt; |Δσ_420|)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 个画像中 3.0 风险匹配更优的占比</w:t>
            </w:r>
          </w:p>
        </w:tc>
      </w:tr>
    </w:tbl>
    <w:p>
      <w:pPr>
        <w:spacing w:after="80"/>
      </w:pP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说明：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MaxDD 不进入胜率表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。正式评估更关注"是否越线"，因此在正文主表展示 exceed_rate_maxdd 比展示"最大回撤胜率"更有业务解释力。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六、对比结果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正文主表（绝对水平，35 画像平均）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1080"/>
        <w:gridCol w:w="1080"/>
        <w:gridCol w:w="1000"/>
        <w:gridCol w:w="1000"/>
        <w:gridCol w:w="1000"/>
        <w:gridCol w:w="1000"/>
        <w:gridCol w:w="1290"/>
        <w:gridCol w:w="1288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6"/>
                <w:szCs w:val="16"/>
              </w:rPr>
              <w:t xml:space="preserve">窗口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6"/>
                <w:szCs w:val="16"/>
              </w:rPr>
              <w:t xml:space="preserve">年化收益
3.0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6"/>
                <w:szCs w:val="16"/>
              </w:rPr>
              <w:t xml:space="preserve">年化收益
420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6"/>
                <w:szCs w:val="16"/>
              </w:rPr>
              <w:t xml:space="preserve">夏普
3.0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6"/>
                <w:szCs w:val="16"/>
              </w:rPr>
              <w:t xml:space="preserve">夏普
420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6"/>
                <w:szCs w:val="16"/>
              </w:rPr>
              <w:t xml:space="preserve">|Δσ|
3.0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6"/>
                <w:szCs w:val="16"/>
              </w:rPr>
              <w:t xml:space="preserve">|Δσ|
420</w:t>
            </w:r>
          </w:p>
        </w:tc>
        <w:tc>
          <w:tcPr>
            <w:tcW w:type="dxa" w:w="1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6"/>
                <w:szCs w:val="16"/>
              </w:rPr>
              <w:t xml:space="preserve">MaxDD触
3.0</w:t>
            </w:r>
          </w:p>
        </w:tc>
        <w:tc>
          <w:tcPr>
            <w:tcW w:type="dxa" w:w="12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6"/>
                <w:szCs w:val="16"/>
              </w:rPr>
              <w:t xml:space="preserve">MaxDD触
420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1y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16.50%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11.78%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2.23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2.04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2.84%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3.93%</w:t>
            </w:r>
          </w:p>
        </w:tc>
        <w:tc>
          <w:tcPr>
            <w:tcW w:type="dxa" w:w="1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0.0%</w:t>
            </w:r>
          </w:p>
        </w:tc>
        <w:tc>
          <w:tcPr>
            <w:tcW w:type="dxa" w:w="12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3y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10.25%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7.46%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1.57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1.46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2.33%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2.86%</w:t>
            </w:r>
          </w:p>
        </w:tc>
        <w:tc>
          <w:tcPr>
            <w:tcW w:type="dxa" w:w="1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0.0%</w:t>
            </w:r>
          </w:p>
        </w:tc>
        <w:tc>
          <w:tcPr>
            <w:tcW w:type="dxa" w:w="12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5y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7.17%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5.07%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1.17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1.10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2.39%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2.88%</w:t>
            </w:r>
          </w:p>
        </w:tc>
        <w:tc>
          <w:tcPr>
            <w:tcW w:type="dxa" w:w="1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0.0%</w:t>
            </w:r>
          </w:p>
        </w:tc>
        <w:tc>
          <w:tcPr>
            <w:tcW w:type="dxa" w:w="12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10y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7.12%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5.74%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0.95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0.88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2.41%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2.90%</w:t>
            </w:r>
          </w:p>
        </w:tc>
        <w:tc>
          <w:tcPr>
            <w:tcW w:type="dxa" w:w="1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0.0%</w:t>
            </w:r>
          </w:p>
        </w:tc>
        <w:tc>
          <w:tcPr>
            <w:tcW w:type="dxa" w:w="12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20y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7.13%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6.48%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0.67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0.71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3.30%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3.42%</w:t>
            </w:r>
          </w:p>
        </w:tc>
        <w:tc>
          <w:tcPr>
            <w:tcW w:type="dxa" w:w="1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71.4%</w:t>
            </w:r>
          </w:p>
        </w:tc>
        <w:tc>
          <w:tcPr>
            <w:tcW w:type="dxa" w:w="12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60.0%</w:t>
            </w:r>
          </w:p>
        </w:tc>
      </w:tr>
    </w:tbl>
    <w:p>
      <w:pPr>
        <w:spacing w:after="160"/>
      </w:pPr>
    </w:p>
    <w:p>
      <w:pPr>
        <w:spacing w:after="60" w:before="200"/>
        <w:jc w:val="center"/>
      </w:pPr>
      <w:r>
        <w:drawing>
          <wp:inline distT="0" distB="0" distL="0" distR="0">
            <wp:extent cx="6124575" cy="3495675"/>
            <wp:effectExtent t="0" r="0" b="0" l="0"/>
            <wp:docPr id="1" name="图1  平均年化收益对比" descr="图1  平均年化收益对比" title="图1  平均年化收益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图1  平均年化收益对比</w:t>
      </w:r>
    </w:p>
    <w:p>
      <w:pPr>
        <w:spacing w:after="60" w:before="200"/>
        <w:jc w:val="center"/>
      </w:pPr>
      <w:r>
        <w:drawing>
          <wp:inline distT="0" distB="0" distL="0" distR="0">
            <wp:extent cx="6124575" cy="3495675"/>
            <wp:effectExtent t="0" r="0" b="0" l="0"/>
            <wp:docPr id="1" name="图2  平均夏普比率对比" descr="图2  平均夏普比率对比" title="图2  平均夏普比率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图2  平均夏普比率对比</w:t>
      </w:r>
    </w:p>
    <w:p>
      <w:pPr>
        <w:spacing w:after="60" w:before="200"/>
        <w:jc w:val="center"/>
      </w:pPr>
      <w:r>
        <w:drawing>
          <wp:inline distT="0" distB="0" distL="0" distR="0">
            <wp:extent cx="6124575" cy="3495675"/>
            <wp:effectExtent t="0" r="0" b="0" l="0"/>
            <wp:docPr id="1" name="图3  平均 |Δσ| 对比（越低越匹配客户）" descr="图3  平均 |Δσ| 对比（越低越匹配客户）" title="图3  平均 |Δσ| 对比（越低越匹配客户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图3  平均 |Δσ| 对比（越低越匹配客户）</w:t>
      </w:r>
    </w:p>
    <w:p>
      <w:pPr>
        <w:spacing w:after="60" w:before="200"/>
        <w:jc w:val="center"/>
      </w:pPr>
      <w:r>
        <w:drawing>
          <wp:inline distT="0" distB="0" distL="0" distR="0">
            <wp:extent cx="6124575" cy="3495675"/>
            <wp:effectExtent t="0" r="0" b="0" l="0"/>
            <wp:docPr id="1" name="图4  MaxDD 红线触碰率对比" descr="图4  MaxDD 红线触碰率对比" title="图4  MaxDD 红线触碰率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图4  MaxDD 红线触碰率对比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胜率表（35 画像横向比较）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2746"/>
        <w:gridCol w:w="2746"/>
        <w:gridCol w:w="2746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窗口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收益胜率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夏普胜率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8"/>
                <w:sz w:val="18"/>
                <w:szCs w:val="18"/>
              </w:rPr>
              <w:t xml:space="preserve">风险匹配胜率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1y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85.7%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77.1%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71.4%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3y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85.7%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62.9%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57.1%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5y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88.6%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60.0%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57.1%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10y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85.7%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65.7%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57.1%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20y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77.1%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48.6%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65.7%</w:t>
            </w:r>
          </w:p>
        </w:tc>
      </w:tr>
    </w:tbl>
    <w:p>
      <w:pPr>
        <w:spacing w:after="160"/>
      </w:pPr>
    </w:p>
    <w:p>
      <w:pPr>
        <w:spacing w:after="60" w:before="200"/>
        <w:jc w:val="center"/>
      </w:pPr>
      <w:r>
        <w:drawing>
          <wp:inline distT="0" distB="0" distL="0" distR="0">
            <wp:extent cx="6124575" cy="3933825"/>
            <wp:effectExtent t="0" r="0" b="0" l="0"/>
            <wp:docPr id="1" name="图5  胜率对比（3.0 优于 420_static 的画像占比）" descr="图5  胜率对比（3.0 优于 420_static 的画像占比）" title="图5  胜率对比（3.0 优于 420_static 的画像占比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图5  胜率对比（3.0 优于 420_static 的画像占比）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结果解读</w:t>
      </w:r>
    </w:p>
    <w:p>
      <w:pPr>
        <w:spacing w:after="120" w:before="0"/>
        <w:ind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从结果看，3.0 的主要优势集中在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收益能力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和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风险匹配能力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。</w:t>
      </w:r>
    </w:p>
    <w:p>
      <w:pPr>
        <w:spacing w:after="120" w:before="0"/>
        <w:ind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收益维度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：3.0 在 1y–20y 所有窗口的平均年化收益均高于 420_static，且收益胜率在各窗口均维持在较高水平，说明其优势体现在大多数客户画像上，而不只是少数画像。</w:t>
      </w:r>
    </w:p>
    <w:p>
      <w:pPr>
        <w:spacing w:after="120" w:before="0"/>
        <w:ind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夏普维度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：3.0 在 1y–10y 窗口的平均夏普均高于 420_static，在 1y / 3y / 5y / 10y 的夏普胜率分别为 77.1% / 62.9% / 60.0% / 65.7%，中短期到长期的风险收益效率整体占优。但在 20y 窗口，3.0 的平均夏普（0.67）低于 420_static（0.71），夏普胜率仅 48.6%，说明覆盖极端危机的超长期窗口中，更高风险暴露对风险收益比形成拖累。</w:t>
      </w:r>
    </w:p>
    <w:p>
      <w:pPr>
        <w:spacing w:after="120" w:before="0"/>
        <w:ind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风险匹配维度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：3.0 在全部五个窗口的平均 |Δσ| 都低于 420_static，说明其组合波动整体更接近客户风险中枢，风险预算使用更合理。3.0 不只是"更能赚钱"，也更能把风险"用在对的地方"。</w:t>
      </w:r>
    </w:p>
    <w:p>
      <w:pPr>
        <w:spacing w:after="120" w:before="0"/>
        <w:ind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MaxDD 红线维度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：1y–10y 窗口两套策略均未触碰回撤红线；但在 20y 窗口下，两套策略都出现较高比例触线，其中 3.0 的 exceed_rate_maxdd 为 71.4%，420_static 为 60.0%。当观察窗口覆盖 2008 等极端市场阶段时，两套策略都面临更严格的极端回撤约束，而 3.0 的压力更大。</w:t>
      </w:r>
    </w:p>
    <w:p>
      <w:pPr>
        <w:spacing w:after="160"/>
      </w:pPr>
    </w:p>
    <w:p>
      <w:pPr>
        <w:spacing w:after="60" w:before="200"/>
        <w:jc w:val="center"/>
      </w:pPr>
      <w:r>
        <w:drawing>
          <wp:inline distT="0" distB="0" distL="0" distR="0">
            <wp:extent cx="6124575" cy="2676525"/>
            <wp:effectExtent t="0" r="0" b="0" l="0"/>
            <wp:docPr id="1" name="图6  结论摘要（▲ = 3.0 胜  ▼ = 420 胜）" descr="图6  结论摘要（▲ = 3.0 胜  ▼ = 420 胜）" title="图6  结论摘要（▲ = 3.0 胜  ▼ = 420 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图6  结论摘要（▲ = 3.0 胜  ▼ = 420 胜）</w:t>
      </w:r>
    </w:p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48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3.0 的优势主要体现为收益更高、风险匹配更优；但在 20 年超长周期下，极端回撤压力也更高。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智能投顾3.0项目组  |  2026年4月    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62b2b6bb6eb11186c3849e0f6d5d60f86080ac.png"/><Relationship Id="rId9" Type="http://schemas.openxmlformats.org/officeDocument/2006/relationships/image" Target="media/c88d4bfe48692660d5e466bdf0bfe27a966d928a.png"/><Relationship Id="rId10" Type="http://schemas.openxmlformats.org/officeDocument/2006/relationships/image" Target="media/b1f2d4b812b5cc9a2b832b165c90e092768df566.png"/><Relationship Id="rId11" Type="http://schemas.openxmlformats.org/officeDocument/2006/relationships/image" Target="media/14b0dd282bb8feb70253e7a100886af2be4522df.png"/><Relationship Id="rId12" Type="http://schemas.openxmlformats.org/officeDocument/2006/relationships/image" Target="media/4c11b27c6a2b8eefe9b218da541f6821d1955945.png"/><Relationship Id="rId13" Type="http://schemas.openxmlformats.org/officeDocument/2006/relationships/image" Target="media/2b43bb90e9509a5834dde9edaa06580ee6a8110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2026-04-10T08:15:48.944Z</dcterms:created>
  <dcterms:modified xsi:type="dcterms:W3CDTF">2026-04-10T08:15:48.944Z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