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财富管理的底层逻辑与最佳实现路径</w:t>
      </w:r>
    </w:p>
    <w:p>
      <w:pPr>
        <w:spacing w:after="600"/>
        <w:jc w:val="center"/>
      </w:pPr>
      <w:r>
        <w:rPr>
          <w:color w:val="4A5568"/>
          <w:sz w:val="32"/>
          <w:szCs w:val="32"/>
        </w:rPr>
        <w:t xml:space="preserve">流程闭环完整指南</w:t>
      </w:r>
    </w:p>
    <w:p>
      <w:pPr>
        <w:pStyle w:val="Heading1"/>
      </w:pPr>
      <w:r>
        <w:t xml:space="preserve">一、底层逻辑框架</w:t>
      </w:r>
    </w:p>
    <w:p>
      <w:pPr>
        <w:pStyle w:val="Heading2"/>
      </w:pPr>
      <w:r>
        <w:t xml:space="preserve">1.1 核心公式</w:t>
      </w:r>
    </w:p>
    <w:p>
      <w:pPr>
        <w:shd w:fill="EDF2F7" w:val="clear"/>
        <w:spacing w:before="200" w:after="200"/>
        <w:jc w:val="center"/>
      </w:pPr>
      <w:r>
        <w:rPr>
          <w:b/>
          <w:bCs/>
          <w:color w:val="2D3748"/>
          <w:sz w:val="28"/>
          <w:szCs w:val="28"/>
        </w:rPr>
        <w:t xml:space="preserve">财富增长 = 收入 - 支出 + 投资收益 × 时间复利</w:t>
      </w:r>
    </w:p>
    <w:p>
      <w:pPr>
        <w:spacing w:before="200" w:after="100"/>
      </w:pPr>
      <w:r>
        <w:t xml:space="preserve">这个公式揭示了财富积累的本质：在控制支出的基础上，通过持续投资和复利效应实现财富的指数级增长。关键变量包括：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收入：</w:t>
      </w:r>
      <w:r>
        <w:t xml:space="preserve">包括主动收入（工资、经营收入）和被动收入（投资收益、租金）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支出：</w:t>
      </w:r>
      <w:r>
        <w:t xml:space="preserve">必要支出与可选支出的合理分配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投资收益率：</w:t>
      </w:r>
      <w:r>
        <w:t xml:space="preserve">取决于资产配置策略和市场环境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时间：</w:t>
      </w:r>
      <w:r>
        <w:t xml:space="preserve">复利的核心要素，时间越长，效果越显著</w:t>
      </w:r>
    </w:p>
    <w:p>
      <w:pPr>
        <w:pStyle w:val="Heading2"/>
      </w:pPr>
      <w:r>
        <w:t xml:space="preserve">1.2 三大支柱体系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风险管理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资产配置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现金流管理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保护已有财富不受意外侵蚀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在风险与收益间寻找最优平衡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确保流动性满足生活与投资需求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保险配置
• 应急基金
• 分散投资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战略配置
• 再平衡策略
• 风险预算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收支规划
• 流动性管理
• 债务优化</w:t>
            </w:r>
          </w:p>
        </w:tc>
      </w:tr>
    </w:tbl>
    <w:p>
      <w:pPr>
        <w:pStyle w:val="Heading2"/>
      </w:pPr>
      <w:r>
        <w:t xml:space="preserve">1.3 财富管理的四个维度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时间维度：</w:t>
      </w:r>
      <w:r>
        <w:t xml:space="preserve">短期（1年内）、中期（1-5年）、长期（5年以上）目标的差异化管理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风险维度：</w:t>
      </w:r>
      <w:r>
        <w:t xml:space="preserve">从保守到激进的风险承受能力评估与匹配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流动性维度：</w:t>
      </w:r>
      <w:r>
        <w:t xml:space="preserve">资金的可用性与投资锁定期的平衡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税务维度：</w:t>
      </w:r>
      <w:r>
        <w:t xml:space="preserve">合法税务优化与财富传承规划</w:t>
      </w:r>
    </w:p>
    <w:p>
      <w:r>
        <w:br w:type="page"/>
      </w:r>
    </w:p>
    <w:p>
      <w:pPr>
        <w:pStyle w:val="Heading1"/>
      </w:pPr>
      <w:r>
        <w:t xml:space="preserve">二、五步闭环流程</w:t>
      </w:r>
    </w:p>
    <w:p>
      <w:pPr>
        <w:pStyle w:val="Heading2"/>
      </w:pPr>
      <w:r>
        <w:t xml:space="preserve">第一步：诊断评估</w:t>
      </w:r>
    </w:p>
    <w:p>
      <w:pPr>
        <w:spacing w:after="150"/>
      </w:pPr>
      <w:r>
        <w:t xml:space="preserve">全面了解财务现状是制定有效策略的基础。诊断评估包含三个核心模块：</w:t>
      </w:r>
    </w:p>
    <w:p>
      <w:pPr>
        <w:pStyle w:val="Heading3"/>
      </w:pPr>
      <w:r>
        <w:t xml:space="preserve">A. 资产负债分析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资产类别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评估要点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流动资产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现金、活期存款、货币基金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是否覆盖3-6个月支出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投资资产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股票、基金、债券、理财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收益率、风险等级、流动性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固定资产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房产、车辆、贵重物品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市值、负债比、变现能力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负债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房贷、车贷、信用卡、消费贷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利率、期限、月供压力</w:t>
            </w:r>
          </w:p>
        </w:tc>
      </w:tr>
    </w:tbl>
    <w:p>
      <w:pPr>
        <w:pStyle w:val="Heading3"/>
      </w:pPr>
      <w:r>
        <w:t xml:space="preserve">B. 现金流分析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收入来源：</w:t>
      </w:r>
      <w:r>
        <w:t xml:space="preserve">工资收入、奖金、投资收益、其他被动收入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支出结构：</w:t>
      </w:r>
      <w:r>
        <w:t xml:space="preserve">固定支出（房贷、保险）、生活支出（日常开销）、可选支出（娱乐、旅行）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储蓄率计算：</w:t>
      </w:r>
      <w:r>
        <w:t xml:space="preserve">（收入-支出）/收入 × 100%，建议目标≥30%</w:t>
      </w:r>
    </w:p>
    <w:p>
      <w:pPr>
        <w:pStyle w:val="Heading3"/>
      </w:pPr>
      <w:r>
        <w:t xml:space="preserve">C. 风险承受能力评估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关键问题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影响因素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客观能力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收入稳定性、资产规模、负债水平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年龄、职业、家庭责任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主观意愿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能接受多大的短期亏损？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投资经验、心理承受力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时间跨度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资金何时需要使用？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目标期限、流动性需求</w:t>
            </w:r>
          </w:p>
        </w:tc>
      </w:tr>
    </w:tbl>
    <w:p>
      <w:pPr>
        <w:pStyle w:val="Heading2"/>
        <w:spacing w:before="400"/>
      </w:pPr>
      <w:r>
        <w:t xml:space="preserve">第二步：目标设定</w:t>
      </w:r>
    </w:p>
    <w:p>
      <w:pPr>
        <w:spacing w:after="150"/>
      </w:pPr>
      <w:r>
        <w:t xml:space="preserve">采用SMART原则设定财务目标，确保目标具体、可衡量、可实现、相关且有时限。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808"/>
        <w:gridCol w:w="23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目标示例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具体金额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策略重点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短期（1年）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应急基金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6个月支出≈15万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流动性优先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中期（5年）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子女教育金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稳健增值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长期（25年）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退休金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复利增长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第三步：策略制定</w:t>
      </w:r>
    </w:p>
    <w:p>
      <w:pPr>
        <w:pStyle w:val="Heading3"/>
      </w:pPr>
      <w:r>
        <w:t xml:space="preserve">A. 核心资产配置模型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3276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资产类型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配置比例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具体工具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防守型资产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国债、货币基金、高等级债券、保险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保值、抗风险、流动性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平衡型资产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债券基金、固收+、混合基金、REITs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稳健增值、适度波动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进取型资产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指数基金、优质股票、行业ETF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追求超额收益</w:t>
            </w:r>
          </w:p>
        </w:tc>
      </w:tr>
    </w:tbl>
    <w:p>
      <w:pPr>
        <w:pStyle w:val="Heading3"/>
      </w:pPr>
      <w:r>
        <w:t xml:space="preserve">B. 生命周期配置调整</w:t>
      </w:r>
    </w:p>
    <w:p>
      <w:pPr>
        <w:spacing w:after="100"/>
      </w:pPr>
      <w:r>
        <w:t xml:space="preserve">根据不同人生阶段调整资产配置比例：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25-35岁（积累期）：</w:t>
      </w:r>
      <w:r>
        <w:t xml:space="preserve">进取型60% + 平衡型30% + 防守型10%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35-50岁（成长期）：</w:t>
      </w:r>
      <w:r>
        <w:t xml:space="preserve">进取型30% + 平衡型40% + 防守型30%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50-60岁（稳健期）：</w:t>
      </w:r>
      <w:r>
        <w:t xml:space="preserve">进取型15% + 平衡型35% + 防守型50%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60岁以上（保守期）：</w:t>
      </w:r>
      <w:r>
        <w:t xml:space="preserve">进取型5% + 平衡型25% + 防守型70%</w:t>
      </w:r>
    </w:p>
    <w:p>
      <w:pPr>
        <w:pStyle w:val="Heading3"/>
      </w:pPr>
      <w:r>
        <w:t xml:space="preserve">C. 保险配置策略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保险类型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保障内容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配置建议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重疾险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覆盖重大疾病治疗费用及收入损失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保额≥年收入3-5倍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意外险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意外伤害、伤残、身故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保额≥年收入10倍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定期寿险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家庭经济支柱的收入保障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保额覆盖家庭5-10年支出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医疗险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补充医保报销缺口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百万医疗+中端医疗可选</w:t>
            </w:r>
          </w:p>
        </w:tc>
      </w:tr>
    </w:tbl>
    <w:p>
      <w:pPr>
        <w:pStyle w:val="Heading2"/>
        <w:spacing w:before="400"/>
      </w:pPr>
      <w:r>
        <w:t xml:space="preserve">第四步：执行落地</w:t>
      </w:r>
    </w:p>
    <w:p>
      <w:pPr>
        <w:pStyle w:val="Heading3"/>
      </w:pPr>
      <w:r>
        <w:t xml:space="preserve">A. 账户体系搭建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日常消费账户：</w:t>
      </w:r>
      <w:r>
        <w:t xml:space="preserve">预留1-2个月生活费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应急储备账户：</w:t>
      </w:r>
      <w:r>
        <w:t xml:space="preserve">存放6个月支出的应急资金（货币基金）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短期目标账户：</w:t>
      </w:r>
      <w:r>
        <w:t xml:space="preserve">1-3年内的目标资金（短债基金、定期存款）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长期投资账户：</w:t>
      </w:r>
      <w:r>
        <w:t xml:space="preserve">5年以上的投资组合（股票、指数基金）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保障账户：</w:t>
      </w:r>
      <w:r>
        <w:t xml:space="preserve">保险保费专用</w:t>
      </w:r>
    </w:p>
    <w:p>
      <w:pPr>
        <w:pStyle w:val="Heading3"/>
      </w:pPr>
      <w:r>
        <w:t xml:space="preserve">B. 自动化执行机制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工资到账日+1：</w:t>
      </w:r>
      <w:r>
        <w:t xml:space="preserve">自动划转30%至投资账户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每月固定日期：</w:t>
      </w:r>
      <w:r>
        <w:t xml:space="preserve">执行定投计划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年度：</w:t>
      </w:r>
      <w:r>
        <w:t xml:space="preserve">保费自动扣款</w:t>
      </w:r>
    </w:p>
    <w:p>
      <w:r>
        <w:br w:type="page"/>
      </w:r>
    </w:p>
    <w:p>
      <w:pPr>
        <w:pStyle w:val="Heading2"/>
      </w:pPr>
      <w:r>
        <w:t xml:space="preserve">第五步：监控复盘（闭环核心）</w:t>
      </w:r>
    </w:p>
    <w:p>
      <w:pPr>
        <w:spacing w:after="150"/>
      </w:pPr>
      <w:r>
        <w:t xml:space="preserve">监控复盘是形成闭环的关键环节，确保策略与目标始终保持一致。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复盘周期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检视内容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调整触发条件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月度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现金流收支情况、储蓄率达成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储蓄率低于目标10%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季度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投资组合收益、配置偏离度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任一资产类别偏离超过5%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半年度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保险保障是否充足、目标进度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收入变化超过20%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年度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全面财务体检、策略有效性评估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人生阶段变化（结婚、生子、换工作）</w:t>
            </w:r>
          </w:p>
        </w:tc>
      </w:tr>
    </w:tbl>
    <w:p>
      <w:pPr>
        <w:pStyle w:val="Heading3"/>
      </w:pPr>
      <w:r>
        <w:t xml:space="preserve">再平衡策略</w:t>
      </w:r>
    </w:p>
    <w:p>
      <w:pPr>
        <w:spacing w:after="100"/>
      </w:pPr>
      <w:r>
        <w:t xml:space="preserve">当投资组合偏离目标配置时，需要进行再平衡操作：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阈值触发法：</w:t>
      </w:r>
      <w:r>
        <w:t xml:space="preserve">单一资产类别偏离目标配置5%以上时触发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定期再平衡：</w:t>
      </w:r>
      <w:r>
        <w:t xml:space="preserve">每年固定时间（如年末）进行一次全面调整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现金流再平衡：</w:t>
      </w:r>
      <w:r>
        <w:t xml:space="preserve">通过新增投资调整比例，避免频繁交易</w:t>
      </w:r>
    </w:p>
    <w:p>
      <w:pPr>
        <w:pStyle w:val="Heading1"/>
        <w:spacing w:before="400"/>
      </w:pPr>
      <w:r>
        <w:t xml:space="preserve">三、实战案例分析</w:t>
      </w:r>
    </w:p>
    <w:p>
      <w:pPr>
        <w:pStyle w:val="Heading2"/>
      </w:pPr>
      <w:r>
        <w:t xml:space="preserve">案例背景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基本信息：</w:t>
      </w:r>
      <w:r>
        <w:t xml:space="preserve">张先生，35岁，互联网行业产品经理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家庭情况：</w:t>
      </w:r>
      <w:r>
        <w:t xml:space="preserve">已婚，配偶年收入30万，子女3岁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年收入：</w:t>
      </w:r>
      <w:r>
        <w:t xml:space="preserve">税后50万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现有资产：</w:t>
      </w:r>
      <w:r>
        <w:t xml:space="preserve">房产市值500万（贷款余额200万）、存款20万、基金30万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月支出：</w:t>
      </w:r>
      <w:r>
        <w:t xml:space="preserve">约2.5万（含房贷1.2万）</w:t>
      </w:r>
    </w:p>
    <w:p>
      <w:pPr>
        <w:pStyle w:val="Heading2"/>
      </w:pPr>
      <w:r>
        <w:t xml:space="preserve">诊断结果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净资产：</w:t>
      </w:r>
      <w:r>
        <w:t xml:space="preserve">350万（房产300万+金融资产50万）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储蓄率：</w:t>
      </w:r>
      <w:r>
        <w:t xml:space="preserve">40%（家庭年收入80万，年支出30万，年储蓄32万）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风险评估：</w:t>
      </w:r>
      <w:r>
        <w:t xml:space="preserve">中等风险承受能力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待改善：</w:t>
      </w:r>
      <w:r>
        <w:t xml:space="preserve">应急基金不足、保险配置缺失</w:t>
      </w:r>
    </w:p>
    <w:p>
      <w:pPr>
        <w:pStyle w:val="Heading2"/>
      </w:pPr>
      <w:r>
        <w:t xml:space="preserve">制定的策略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金额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实现路径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应急基金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1年内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每月存1.25万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子女教育金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月定投4000元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退休金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月定投6000元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保险保障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年保费3万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每年续保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重疾+意外+定寿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四、关键原则与风险提示</w:t>
      </w:r>
    </w:p>
    <w:p>
      <w:pPr>
        <w:pStyle w:val="Heading2"/>
      </w:pPr>
      <w:r>
        <w:t xml:space="preserve">4.1 核心原则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先保障后投资：</w:t>
      </w:r>
      <w:r>
        <w:t xml:space="preserve">确保风险防护到位后再追求收益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分散不集中：</w:t>
      </w:r>
      <w:r>
        <w:t xml:space="preserve">不把鸡蛋放在一个篮子里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长期主义：</w:t>
      </w:r>
      <w:r>
        <w:t xml:space="preserve">给复利足够的时间发挥作用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纪律执行：</w:t>
      </w:r>
      <w:r>
        <w:t xml:space="preserve">克服情绪波动，坚持既定策略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持续学习：</w:t>
      </w:r>
      <w:r>
        <w:t xml:space="preserve">提升财务素养，适应市场变化</w:t>
      </w:r>
    </w:p>
    <w:p>
      <w:pPr>
        <w:pStyle w:val="Heading2"/>
      </w:pPr>
      <w:r>
        <w:t xml:space="preserve">4.2 常见误区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过度追求高收益：</w:t>
      </w:r>
      <w:r>
        <w:t xml:space="preserve">忽视风险，导致本金损失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频繁交易：</w:t>
      </w:r>
      <w:r>
        <w:t xml:space="preserve">增加交易成本，错失长期收益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跟风投资：</w:t>
      </w:r>
      <w:r>
        <w:t xml:space="preserve">缺乏独立判断，追涨杀跌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忽视保险：</w:t>
      </w:r>
      <w:r>
        <w:t xml:space="preserve">一场意外可能摧毁多年积累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杠杆过度：</w:t>
      </w:r>
      <w:r>
        <w:t xml:space="preserve">放大风险，可能导致爆仓</w:t>
      </w:r>
    </w:p>
    <w:p>
      <w:pPr>
        <w:pStyle w:val="Heading2"/>
      </w:pPr>
      <w:r>
        <w:t xml:space="preserve">4.3 风险提示</w:t>
      </w:r>
    </w:p>
    <w:p>
      <w:pPr>
        <w:shd w:fill="FEF2F2" w:val="clear"/>
        <w:spacing w:before="200" w:after="200"/>
      </w:pPr>
      <w:r>
        <w:rPr>
          <w:b/>
          <w:bCs/>
          <w:color w:val="991B1B"/>
        </w:rPr>
        <w:t xml:space="preserve">重要提示：</w:t>
      </w:r>
      <w:r>
        <w:rPr>
          <w:color w:val="991B1B"/>
        </w:rPr>
        <w:t xml:space="preserve">本文档仅供参考，不构成投资建议。投资有风险，入市需谨慎。具体的财务规划应根据个人实际情况，并咨询专业的持牌财务顾问。</w:t>
      </w:r>
    </w:p>
    <w:p>
      <w:pPr>
        <w:pStyle w:val="Heading1"/>
      </w:pPr>
      <w:r>
        <w:t xml:space="preserve">五、总结</w:t>
      </w:r>
    </w:p>
    <w:p>
      <w:pPr>
        <w:spacing w:after="200"/>
      </w:pPr>
      <w:r>
        <w:t xml:space="preserve">财富管理的核心在于建立一个可持续的闭环系统：从诊断评估出发，设定清晰目标，制定合理策略，严格执行落地，并通过定期监控复盘不断优化。这个循环往复的过程，配合时间和复利的力量，将帮助您稳步实现财务自由的目标。</w:t>
      </w:r>
    </w:p>
    <w:p>
      <w:pPr>
        <w:shd w:fill="EDF2F7" w:val="clear"/>
        <w:spacing w:before="300" w:after="300"/>
        <w:jc w:val="center"/>
      </w:pPr>
      <w:r>
        <w:rPr>
          <w:b/>
          <w:bCs/>
          <w:color w:val="2D3748"/>
          <w:sz w:val="24"/>
          <w:szCs w:val="24"/>
        </w:rPr>
        <w:t xml:space="preserve">目标设定 → 现状诊断 → 策略制定 → 执行落地 → 监控复盘 → 目标设定（循环）</w:t>
      </w:r>
    </w:p>
    <w:p>
      <w:pPr>
        <w:spacing w:after="100"/>
      </w:pPr>
      <w:r>
        <w:t xml:space="preserve">记住：财富管理不是一次性的行为，而是贯穿一生的持续过程。从今天开始，建立您的财富管理闭环系统！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第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财富管理框架 | 专业指南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第%1步：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2026-01-20T08:33:01.694Z</dcterms:created>
  <dcterms:modified xsi:type="dcterms:W3CDTF">2026-01-20T08:33:01.695Z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