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before="0" w:after="180" w:line="269" w:lineRule="auto"/>
      </w:pPr>
      <w:r>
        <w:rPr>
          <w:rFonts w:ascii="PingFang SC" w:hAnsi="PingFang SC" w:eastAsia="PingFang SC" w:cs="PingFang SC"/>
          <w:b/>
          <w:color w:val="000000"/>
          <w:sz w:val="44"/>
          <w:lang w:eastAsia="zh-CN"/>
        </w:rPr>
        <w:t>2026年10月中国市场与外部宏观环境分析报告</w:t>
      </w:r>
    </w:p>
    <w:p>
      <w:pPr>
        <w:pStyle w:val="Subtitle"/>
        <w:keepNext/>
        <w:widowControl/>
        <w:spacing w:before="0" w:after="200" w:line="276" w:lineRule="auto"/>
      </w:pPr>
      <w:r>
        <w:rPr>
          <w:rFonts w:ascii="Songti SC" w:hAnsi="Songti SC" w:eastAsia="Songti SC" w:cs="Songti SC"/>
          <w:b w:val="0"/>
          <w:color w:val="000000"/>
          <w:sz w:val="20"/>
          <w:lang w:eastAsia="zh-CN"/>
        </w:rPr>
        <w:t>截至2026年10月16日的月中观察与后半月前瞻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/>
          <w:color w:val="111111"/>
          <w:sz w:val="22"/>
          <w:lang w:eastAsia="zh-CN"/>
        </w:rPr>
        <w:t>信息截点：北京时间2026年10月16日15:30。</w:t>
      </w: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 xml:space="preserve"> 跨资产比较统一采用9月30日至10月15日的可得日终读数；不纳入10月16日欧美时段随后发布的数据。短线指未来1至5个交易日，中期指未来1至3个月。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报告以中国市场为中心，围绕国内需求与成本、信用与政策、海外通胀与利率三组变量，分析宏观事件的预期差、资产传导与行业分化。文中“事实”为已公布数据，“判断”和“情景”为基于这些事实的条件性推断。</w:t>
      </w:r>
    </w:p>
    <w:p>
      <w:pPr>
        <w:pStyle w:val="Heading1"/>
        <w:keepNext/>
        <w:widowControl/>
        <w:spacing w:before="2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30"/>
          <w:lang w:eastAsia="zh-CN"/>
        </w:rPr>
        <w:t>一 30秒结论</w:t>
      </w:r>
    </w:p>
    <w:p>
      <w:pPr>
        <w:pStyle w:val="ListBullet"/>
        <w:widowControl/>
        <w:spacing w:before="0" w:after="100" w:line="293" w:lineRule="auto"/>
      </w:pPr>
      <w:r>
        <w:rPr>
          <w:rFonts w:ascii="Songti SC" w:hAnsi="Songti SC" w:eastAsia="Songti SC" w:cs="Songti SC"/>
          <w:b/>
          <w:color w:val="111111"/>
          <w:sz w:val="22"/>
          <w:lang w:eastAsia="zh-CN"/>
        </w:rPr>
        <w:t>最大分歧在于成本与需求没有同步转强。</w:t>
      </w: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 xml:space="preserve"> 中国9月PPI同比5.0%，高于报道所载4.3%至4.4%的预测；CPI仅0.9%，核心CPI1.0%与前月持平。制造业PMI回到50.1，但新订单略降。更适合将当前环境理解为生产改善、成本压力上升、终端需求修复仍待确认。[W1、W2、W4、W4b、S1、S2]</w:t>
      </w:r>
    </w:p>
    <w:p>
      <w:pPr>
        <w:pStyle w:val="ListBullet"/>
        <w:widowControl/>
        <w:spacing w:before="0" w:after="100" w:line="293" w:lineRule="auto"/>
      </w:pPr>
      <w:r>
        <w:rPr>
          <w:rFonts w:ascii="Songti SC" w:hAnsi="Songti SC" w:eastAsia="Songti SC" w:cs="Songti SC"/>
          <w:b/>
          <w:color w:val="111111"/>
          <w:sz w:val="22"/>
          <w:lang w:eastAsia="zh-CN"/>
        </w:rPr>
        <w:t>外部环境对中国股票估值仍有约束。</w:t>
      </w: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 xml:space="preserve"> 美联储9月已加息25个基点，美国9月通胀回升、非农新增就业却只有2.9万人。后续政策在抑制通胀与防止就业进一步走弱之间权衡，不能预设进入降息通道。[W5、W9、S5至S8]</w:t>
      </w:r>
    </w:p>
    <w:p>
      <w:pPr>
        <w:pStyle w:val="ListBullet"/>
        <w:widowControl/>
        <w:spacing w:before="0" w:after="100" w:line="293" w:lineRule="auto"/>
      </w:pPr>
      <w:r>
        <w:rPr>
          <w:rFonts w:ascii="Songti SC" w:hAnsi="Songti SC" w:eastAsia="Songti SC" w:cs="Songti SC"/>
          <w:b/>
          <w:color w:val="111111"/>
          <w:sz w:val="22"/>
          <w:lang w:eastAsia="zh-CN"/>
        </w:rPr>
        <w:t>对股市的综合影响中性偏谨慎，行业差异大于总量改善。</w:t>
      </w: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 xml:space="preserve"> 缺乏提价能力的中下游企业承受成本压力，依赖远期盈利的成长股承受利率与风险溢价约束；资源品、出口制造与高现金流企业各有支撑，但均需订单、利润和估值配合。上述为传导判断，并非已核验的行业收益排名。</w:t>
      </w:r>
    </w:p>
    <w:p>
      <w:pPr>
        <w:pStyle w:val="ListBullet"/>
        <w:widowControl/>
        <w:spacing w:before="0" w:after="100" w:line="293" w:lineRule="auto"/>
      </w:pPr>
      <w:r>
        <w:rPr>
          <w:rFonts w:ascii="Songti SC" w:hAnsi="Songti SC" w:eastAsia="Songti SC" w:cs="Songti SC"/>
          <w:b/>
          <w:color w:val="111111"/>
          <w:sz w:val="22"/>
          <w:lang w:eastAsia="zh-CN"/>
        </w:rPr>
        <w:t>中期环境尚不足以确认为全面复苏。</w:t>
      </w: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 xml:space="preserve"> 10月19日国内增长数据、随后工业利润和月底政策窗口，是检验生产改善能否转化为需求、现金流及盈利改善的关键。月内股票下跌与人民币相对稳定并存，亦不支持将全部波动简单归为汇率冲击。[W6、W7、W8、S3、S12]</w:t>
      </w:r>
    </w:p>
    <w:p>
      <w:pPr>
        <w:pStyle w:val="Heading1"/>
        <w:keepNext/>
        <w:widowControl/>
        <w:spacing w:before="2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30"/>
          <w:lang w:eastAsia="zh-CN"/>
        </w:rPr>
        <w:t>二 事件事实与预期对比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预期差分为三类：发布前文字所载预测、公布后报道转述的预测、前次官方预测。三者证据强度不同。前值只用于比较趋势，不能充当市场共识；预测值也不等同于机构持仓或价格中已反映的程度。</w:t>
      </w:r>
    </w:p>
    <w:p>
      <w:pPr>
        <w:keepNext/>
        <w:widowControl/>
        <w:spacing w:before="120" w:after="100" w:line="293" w:lineRule="auto"/>
      </w:pPr>
      <w:r>
        <w:rPr>
          <w:rFonts w:ascii="Songti SC" w:hAnsi="Songti SC" w:eastAsia="Songti SC" w:cs="Songti SC"/>
          <w:b/>
          <w:color w:val="111111"/>
          <w:sz w:val="21"/>
          <w:lang w:eastAsia="zh-CN"/>
        </w:rPr>
        <w:t>表1 关键事件与预期基线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2" w:type="dxa"/>
          <w:bottom w:w="82" w:type="dxa"/>
          <w:left w:w="95" w:type="dxa"/>
          <w:right w:w="95" w:type="dxa"/>
        </w:tblCellMar>
      </w:tblPr>
      <w:tblGrid>
        <w:gridCol w:w="1905"/>
        <w:gridCol w:w="1814"/>
        <w:gridCol w:w="2903"/>
        <w:gridCol w:w="2903"/>
      </w:tblGrid>
      <w:tr>
        <w:trPr>
          <w:cantSplit/>
          <w:tblHeader/>
        </w:trPr>
        <w:tc>
          <w:tcPr>
            <w:tcW w:type="dxa" w:w="1905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事件及发布日期</w:t>
            </w:r>
          </w:p>
        </w:tc>
        <w:tc>
          <w:tcPr>
            <w:tcW w:type="dxa" w:w="1814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公布结果</w:t>
            </w:r>
          </w:p>
        </w:tc>
        <w:tc>
          <w:tcPr>
            <w:tcW w:type="dxa" w:w="2903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可核验的比较基线</w:t>
            </w:r>
          </w:p>
        </w:tc>
        <w:tc>
          <w:tcPr>
            <w:tcW w:type="dxa" w:w="2903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变化含义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中国9月PMI</w:t>
              <w:br/>
              <w:t>9月30日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50.1</w:t>
              <w:br/>
              <w:t>前值49.8</w:t>
            </w:r>
          </w:p>
        </w:tc>
        <w:tc>
          <w:tcPr>
            <w:tcW w:type="dxa" w:w="2903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Wind一致预测序列49.88；该序列未锁定发布前版本</w:t>
            </w:r>
          </w:p>
        </w:tc>
        <w:tc>
          <w:tcPr>
            <w:tcW w:type="dxa" w:w="2903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较参考预测高0.22个百分点；新订单下降限制了总量改善的含义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中国9月CPI</w:t>
              <w:br/>
              <w:t>10月14日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同比0.9%</w:t>
              <w:br/>
              <w:t>前值0.8%</w:t>
            </w:r>
          </w:p>
        </w:tc>
        <w:tc>
          <w:tcPr>
            <w:tcW w:type="dxa" w:w="2903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10月15日报道所载Wind一致预期1.0%</w:t>
            </w:r>
          </w:p>
        </w:tc>
        <w:tc>
          <w:tcPr>
            <w:tcW w:type="dxa" w:w="2903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较该口径低0.1个百分点；这是报道转述的预测比较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中国9月PPI</w:t>
              <w:br/>
              <w:t>10月14日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同比5.0%</w:t>
              <w:br/>
              <w:t>前值3.8%</w:t>
            </w:r>
          </w:p>
        </w:tc>
        <w:tc>
          <w:tcPr>
            <w:tcW w:type="dxa" w:w="2903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Wind新闻中两种报道预测为4.3%和4.4%</w:t>
            </w:r>
          </w:p>
        </w:tc>
        <w:tc>
          <w:tcPr>
            <w:tcW w:type="dxa" w:w="2903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较两种报道基线高0.6至0.7个百分点；方向一致，幅度须保留口径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美国9月非农</w:t>
              <w:br/>
              <w:t>10月2日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新增2.9万人</w:t>
              <w:br/>
              <w:t>8月修订为13.3万人</w:t>
            </w:r>
          </w:p>
        </w:tc>
        <w:tc>
          <w:tcPr>
            <w:tcW w:type="dxa" w:w="2903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Wind所载发布前预览中位数9万人</w:t>
            </w:r>
          </w:p>
        </w:tc>
        <w:tc>
          <w:tcPr>
            <w:tcW w:type="dxa" w:w="2903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较预览低6.1万人；就业放缓，不能单凭一次数据确认衰退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美国9月CPI</w:t>
              <w:br/>
              <w:t>10月14日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同比3.7%</w:t>
              <w:br/>
              <w:t>核心同比2.6%</w:t>
            </w:r>
          </w:p>
        </w:tc>
        <w:tc>
          <w:tcPr>
            <w:tcW w:type="dxa" w:w="2903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前值3.4%和2.4%；不作为共识</w:t>
            </w:r>
          </w:p>
        </w:tc>
        <w:tc>
          <w:tcPr>
            <w:tcW w:type="dxa" w:w="2903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可确认通胀回升；本表不判定相对市场共识的意外幅度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9月FOMC及SEP</w:t>
              <w:br/>
              <w:t>9月16日美国时间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加息25基点至</w:t>
              <w:br/>
              <w:t>3.75%至4.00%</w:t>
            </w:r>
          </w:p>
        </w:tc>
        <w:tc>
          <w:tcPr>
            <w:tcW w:type="dxa" w:w="2903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纪要显示会前加息已有较高预期；2026年末利率预测由6月3.8%上调至4.1%</w:t>
            </w:r>
          </w:p>
        </w:tc>
        <w:tc>
          <w:tcPr>
            <w:tcW w:type="dxa" w:w="2903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加息本身不宜称为意外；官方路径上修也不等同于市场共识变化</w:t>
            </w:r>
          </w:p>
        </w:tc>
      </w:tr>
    </w:tbl>
    <w:p>
      <w:pPr>
        <w:widowControl/>
        <w:spacing w:before="80" w:after="140" w:line="276" w:lineRule="auto"/>
      </w:pP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来源：[W1、W2、W4、W4b、W5、W9、S1、S5、S6、S7、S8]。中国CPI/PPI预测取自公布后报道，PMI一致预测未锁定首发版本，不能据此构建严格的实时意外因子。非农预览有明确的发布前措辞，但返回记录仅载日期，未载具体盘中时间。</w:t>
      </w:r>
    </w:p>
    <w:p>
      <w:pPr>
        <w:pStyle w:val="Heading2"/>
        <w:keepNext/>
        <w:widowControl/>
        <w:spacing w:before="1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25"/>
          <w:lang w:eastAsia="zh-CN"/>
        </w:rPr>
        <w:t>最重要的预期修正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可讨论的修正不是“所有数据转好”，而是几条原本可能一致的叙事开始分开：生产景气回升没有带来订单加速，工业品价格上行没有带来核心消费通胀提速，美国就业走弱也没有消除通胀与再加息风险。股票定价因此更依赖企业能否保住利润率、兑现现金流，以及后续政策能否改善最终需求。</w:t>
      </w:r>
    </w:p>
    <w:p>
      <w:pPr>
        <w:pStyle w:val="Heading1"/>
        <w:keepNext/>
        <w:widowControl/>
        <w:spacing w:before="2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30"/>
          <w:lang w:eastAsia="zh-CN"/>
        </w:rPr>
        <w:t>三 中国宏观环境</w:t>
      </w:r>
    </w:p>
    <w:p>
      <w:pPr>
        <w:keepNext/>
        <w:widowControl/>
        <w:spacing w:before="120" w:after="100" w:line="293" w:lineRule="auto"/>
      </w:pPr>
      <w:r>
        <w:rPr>
          <w:rFonts w:ascii="Songti SC" w:hAnsi="Songti SC" w:eastAsia="Songti SC" w:cs="Songti SC"/>
          <w:b/>
          <w:color w:val="111111"/>
          <w:sz w:val="21"/>
          <w:lang w:eastAsia="zh-CN"/>
        </w:rPr>
        <w:t>表2 国内基本面与信用信号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2" w:type="dxa"/>
          <w:bottom w:w="82" w:type="dxa"/>
          <w:left w:w="95" w:type="dxa"/>
          <w:right w:w="95" w:type="dxa"/>
        </w:tblCellMar>
      </w:tblPr>
      <w:tblGrid>
        <w:gridCol w:w="2198"/>
        <w:gridCol w:w="1740"/>
        <w:gridCol w:w="2290"/>
        <w:gridCol w:w="3297"/>
      </w:tblGrid>
      <w:tr>
        <w:trPr>
          <w:cantSplit/>
          <w:tblHeader/>
        </w:trPr>
        <w:tc>
          <w:tcPr>
            <w:tcW w:type="dxa" w:w="2198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变量及统计期</w:t>
            </w:r>
          </w:p>
        </w:tc>
        <w:tc>
          <w:tcPr>
            <w:tcW w:type="dxa" w:w="1740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最新可得值</w:t>
            </w:r>
          </w:p>
        </w:tc>
        <w:tc>
          <w:tcPr>
            <w:tcW w:type="dxa" w:w="2290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比较值或结构</w:t>
            </w:r>
          </w:p>
        </w:tc>
        <w:tc>
          <w:tcPr>
            <w:tcW w:type="dxa" w:w="3297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可支持的判断</w:t>
            </w:r>
          </w:p>
        </w:tc>
      </w:tr>
      <w:tr>
        <w:trPr>
          <w:cantSplit/>
        </w:trPr>
        <w:tc>
          <w:tcPr>
            <w:tcW w:type="dxa" w:w="2198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增长背景</w:t>
              <w:br/>
              <w:t>2026年二季度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实际GDP当季同比4.3%</w:t>
            </w:r>
          </w:p>
        </w:tc>
        <w:tc>
          <w:tcPr>
            <w:tcW w:type="dxa" w:w="2290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查询时可得版本</w:t>
            </w:r>
          </w:p>
        </w:tc>
        <w:tc>
          <w:tcPr>
            <w:tcW w:type="dxa" w:w="3297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只构成增长背景；不能替代三季度数据</w:t>
            </w:r>
          </w:p>
        </w:tc>
      </w:tr>
      <w:tr>
        <w:trPr>
          <w:cantSplit/>
        </w:trPr>
        <w:tc>
          <w:tcPr>
            <w:tcW w:type="dxa" w:w="2198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生产与零售</w:t>
              <w:br/>
              <w:t>2026年8月</w:t>
            </w:r>
          </w:p>
        </w:tc>
        <w:tc>
          <w:tcPr>
            <w:tcW w:type="dxa" w:w="1740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工业增加值同比5.2%</w:t>
              <w:br/>
              <w:t>社零同比0.4%</w:t>
            </w:r>
          </w:p>
        </w:tc>
        <w:tc>
          <w:tcPr>
            <w:tcW w:type="dxa" w:w="2290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7月分别4.5%、0.6%</w:t>
            </w:r>
          </w:p>
        </w:tc>
        <w:tc>
          <w:tcPr>
            <w:tcW w:type="dxa" w:w="3297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生产回升、商品消费金额增速继续放缓</w:t>
            </w:r>
          </w:p>
        </w:tc>
      </w:tr>
      <w:tr>
        <w:trPr>
          <w:cantSplit/>
        </w:trPr>
        <w:tc>
          <w:tcPr>
            <w:tcW w:type="dxa" w:w="2198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投资与地产</w:t>
              <w:br/>
              <w:t>2026年1至8月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固定资产投资累计同比-7.2%</w:t>
              <w:br/>
              <w:t>房地产开发投资-19.9%</w:t>
            </w:r>
          </w:p>
        </w:tc>
        <w:tc>
          <w:tcPr>
            <w:tcW w:type="dxa" w:w="2290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扣除房地产开发投资的民间投资累计同比-6.4%</w:t>
            </w:r>
          </w:p>
        </w:tc>
        <w:tc>
          <w:tcPr>
            <w:tcW w:type="dxa" w:w="3297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需求压力不只来自地产，民间投资也需观察</w:t>
            </w:r>
          </w:p>
        </w:tc>
      </w:tr>
      <w:tr>
        <w:trPr>
          <w:cantSplit/>
        </w:trPr>
        <w:tc>
          <w:tcPr>
            <w:tcW w:type="dxa" w:w="2198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制造业订单</w:t>
              <w:br/>
              <w:t>2026年9月</w:t>
            </w:r>
          </w:p>
        </w:tc>
        <w:tc>
          <w:tcPr>
            <w:tcW w:type="dxa" w:w="1740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新订单50.5</w:t>
              <w:br/>
              <w:t>新出口订单50.0</w:t>
            </w:r>
          </w:p>
        </w:tc>
        <w:tc>
          <w:tcPr>
            <w:tcW w:type="dxa" w:w="2290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8月分别50.6、50.1</w:t>
            </w:r>
          </w:p>
        </w:tc>
        <w:tc>
          <w:tcPr>
            <w:tcW w:type="dxa" w:w="3297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订单仍弱于生产改善，外需调查没有同步加速</w:t>
            </w:r>
          </w:p>
        </w:tc>
      </w:tr>
      <w:tr>
        <w:trPr>
          <w:cantSplit/>
        </w:trPr>
        <w:tc>
          <w:tcPr>
            <w:tcW w:type="dxa" w:w="2198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货币与融资</w:t>
              <w:br/>
              <w:t>2026年9月末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M1同比3.2%</w:t>
              <w:br/>
              <w:t>M2同比7.2%</w:t>
              <w:br/>
              <w:t>社融存量同比7.1%</w:t>
            </w:r>
          </w:p>
        </w:tc>
        <w:tc>
          <w:tcPr>
            <w:tcW w:type="dxa" w:w="2290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8月分别4.1%、7.5%、7.2%</w:t>
            </w:r>
          </w:p>
        </w:tc>
        <w:tc>
          <w:tcPr>
            <w:tcW w:type="dxa" w:w="3297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货币与信用增速放缓，不宜确认私人信用转强</w:t>
            </w:r>
          </w:p>
        </w:tc>
      </w:tr>
      <w:tr>
        <w:trPr>
          <w:cantSplit/>
        </w:trPr>
        <w:tc>
          <w:tcPr>
            <w:tcW w:type="dxa" w:w="2198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融资流量</w:t>
              <w:br/>
              <w:t>2026年9月</w:t>
            </w:r>
          </w:p>
        </w:tc>
        <w:tc>
          <w:tcPr>
            <w:tcW w:type="dxa" w:w="1740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新增人民币贷款10800亿元</w:t>
              <w:br/>
              <w:t>社融增量35476亿元</w:t>
            </w:r>
          </w:p>
        </w:tc>
        <w:tc>
          <w:tcPr>
            <w:tcW w:type="dxa" w:w="2290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季度末有季节性；流量与存量不是同一概念</w:t>
            </w:r>
          </w:p>
        </w:tc>
        <w:tc>
          <w:tcPr>
            <w:tcW w:type="dxa" w:w="3297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单月融资增加不等同于趋势反转</w:t>
            </w:r>
          </w:p>
        </w:tc>
      </w:tr>
      <w:tr>
        <w:trPr>
          <w:cantSplit/>
        </w:trPr>
        <w:tc>
          <w:tcPr>
            <w:tcW w:type="dxa" w:w="2198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外贸金额</w:t>
              <w:br/>
              <w:t>2026年9月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美元计出口同比36.3%</w:t>
              <w:br/>
              <w:t>进口同比31.0%</w:t>
            </w:r>
          </w:p>
        </w:tc>
        <w:tc>
          <w:tcPr>
            <w:tcW w:type="dxa" w:w="2290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8月分别25.0%、28.2%</w:t>
            </w:r>
          </w:p>
        </w:tc>
        <w:tc>
          <w:tcPr>
            <w:tcW w:type="dxa" w:w="3297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外贸金额强劲；不能直接推断实物量、利润或可持续性</w:t>
            </w:r>
          </w:p>
        </w:tc>
      </w:tr>
    </w:tbl>
    <w:p>
      <w:pPr>
        <w:widowControl/>
        <w:spacing w:before="80" w:after="140" w:line="276" w:lineRule="auto"/>
      </w:pP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来源：[W1、W2、W3、W10]。工业增加值为实际增速，社零与外贸为金额增速；投资为累计口径。房地产开发投资采用S0029657，未采用名称相近的“固定资产投资完成额 房地产业”序列。</w:t>
      </w:r>
    </w:p>
    <w:p>
      <w:pPr>
        <w:pStyle w:val="Heading2"/>
        <w:keepNext/>
        <w:widowControl/>
        <w:spacing w:before="1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25"/>
          <w:lang w:eastAsia="zh-CN"/>
        </w:rPr>
        <w:t>生产回升需要订单与消费跟进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9月PMI仅略高于50，不能把这一临界值当作经济已经全面转强的证明。新订单50.5、新出口订单50.0，均比8月低0.1；官方生产分项回升更明显，中小企业PMI仍低于50。因此，10月19日应同时查看工业生产、零售和投资，不能只挑出一个较强的同比数字。[W2、S1]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8月工业增加值增长与零售增长之间的差异，也说明制造业供给和居民购买力不是同一条线。零售并不覆盖全部服务消费，其低增速不能代表所有居民需求；但结合投资与居民融资结构，尚不足以支持内需已普遍转强的判断。</w:t>
      </w:r>
    </w:p>
    <w:p>
      <w:pPr>
        <w:pStyle w:val="Heading2"/>
        <w:keepNext/>
        <w:widowControl/>
        <w:spacing w:before="1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25"/>
          <w:lang w:eastAsia="zh-CN"/>
        </w:rPr>
        <w:t>PPI上涨首先改变利润在产业链间的分配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9月核心CPI同比1.0%，与8月持平。PPI上行集中于生产资料，而生活资料价格仍同比下降；工业购进价格同比涨幅高于出厂价格。这组结构更值得用来检验成本能否向终端传递，而不是直接推导所有工业企业盈利改善。[W1、S2]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传导上，上游提价可能增加销售收入和存货收益；中下游若订单不足、合同锁价或竞争激烈，成本上涨反而压低毛利。PPI与CPI、购进与出厂价格之间的差值均非企业利润率，不能机械相减后当成利润预测。中期需要企业利润、经营现金流和实际售价共同验证。</w:t>
      </w:r>
    </w:p>
    <w:p>
      <w:pPr>
        <w:pStyle w:val="Heading2"/>
        <w:keepNext/>
        <w:widowControl/>
        <w:spacing w:before="1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25"/>
          <w:lang w:eastAsia="zh-CN"/>
        </w:rPr>
        <w:t>信用结构比季末融资总量更重要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9月新增贷款和社融增量均较8月增加，但季度末投放有季节性，M1、M2及社融存量同比同时下降。更有解释力的结构证据是：9月末政府债券余额同比增长13.7%，对实体经济的人民币贷款余额仅增长4.8%；前三季度住户贷款净减少1.03万亿元。政府债券增长快于实体人民币贷款，居民信贷仍弱；实体人民币贷款包含国企贷款，不能据此直接判断民营企业融资，民企融资修复需另行验证。[W3、S3]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这意味着，融资总量对经济的支持能否体现为企业收入，要继续看资金支出、项目进度和居民购买，而非只看发行或授信。政策研究应分别跟踪融资成本、财政资金落地及民营与居民借款意愿；财政融资增加不能直接视为当期有效需求增加。</w:t>
      </w:r>
    </w:p>
    <w:p>
      <w:pPr>
        <w:pStyle w:val="Heading2"/>
        <w:keepNext/>
        <w:widowControl/>
        <w:spacing w:before="1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25"/>
          <w:lang w:eastAsia="zh-CN"/>
        </w:rPr>
        <w:t>出口强劲构成支撑 但需拆分价格与数量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美元计出口同比36.3%明显加快，能够支持外向制造业收入的分析；但新出口订单调查处于50附近，说明已出货金额与新增订单的景气并非完全一致。价格、产品结构、基数和交货节奏均可能影响金额增速，在缺少对应量价分解时，不应认定其中任何一项为主因。[W2、W3]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官方转载的海关发布会资料显示，前三季度装备制造业对出口增量贡献较大。这是累计、人民币口径的结构证据，不能与9月美元同比混算。对企业还应检查汇率、进口零部件成本和回款：出口金额高增长不保证利润或自由现金流同比例增长。[S4]</w:t>
      </w:r>
    </w:p>
    <w:p>
      <w:pPr>
        <w:pStyle w:val="Heading2"/>
        <w:keepNext/>
        <w:widowControl/>
        <w:spacing w:before="1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25"/>
          <w:lang w:eastAsia="zh-CN"/>
        </w:rPr>
        <w:t>政策空间需要同时考虑内需与汇率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本报告判断，国内需求偏弱提高了稳定增长政策的必要性，上游成本上行又要求关注企业负担。海外加息会影响利差、汇率和外币融资条件，但不会机械决定中国政策利率。政策效果更取决于工具组合与传导：资金价格下降能否带来新增需求，财政与结构性支持能否形成订单，地产相关措施能否改善成交、回款和交付。</w:t>
      </w:r>
    </w:p>
    <w:p>
      <w:pPr>
        <w:pStyle w:val="Heading1"/>
        <w:keepNext/>
        <w:widowControl/>
        <w:spacing w:before="2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30"/>
          <w:lang w:eastAsia="zh-CN"/>
        </w:rPr>
        <w:t>四 外部宏观环境</w:t>
      </w:r>
    </w:p>
    <w:p>
      <w:pPr>
        <w:pStyle w:val="Heading2"/>
        <w:keepNext/>
        <w:widowControl/>
        <w:spacing w:before="1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25"/>
          <w:lang w:eastAsia="zh-CN"/>
        </w:rPr>
        <w:t>美国通胀回升与就业放缓并存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美国9月CPI同比由3.4%升至3.7%，核心CPI由2.4%升至2.6%；季调后总体环比由0.4%升至0.6%，汽油环比上涨9.1%，贡献总涨幅逾半。核心环比为0.3%，与8月相同，因此核心同比上升不等于核心月度涨势再次加快。同期非农就业新增由8月修订后的13.3万人降至2.9万人，失业率由4.1%升至4.2%。当前更准确的描述是通胀压力与劳动需求降温并存，尚不能确认经济已进入衰退。[W5、S7、S8]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9月FOMC已加息25个基点至3.75%至4.00%。SEP对2026和2027年末政策利率的中位数均为4.1%，分别高于6月的3.8%和3.6%；这些是决策者预测，不是政策承诺或市场一致预期。10月公布的会议纪要表明，进一步加息仍是备选路径，但具体时点取决于数据。[S5、S6]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对中国的含义有两面：就业弱化可能抑制海外订单和风险偏好，也可能减轻继续紧缩的压力；通胀反弹则可能维持较高折现率与能源成本。不能把一次疲弱非农直接翻译成“降息利好”，也不能把一次通胀上升直接翻译成所有风险资产持续下跌。</w:t>
      </w:r>
    </w:p>
    <w:p>
      <w:pPr>
        <w:pStyle w:val="Heading2"/>
        <w:keepNext/>
        <w:widowControl/>
        <w:spacing w:before="1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25"/>
          <w:lang w:eastAsia="zh-CN"/>
        </w:rPr>
        <w:t>欧洲与全球环境没有提供同步宽松支撑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欧洲央行9月也加息25个基点，存款便利利率升至2.50%。欧元区9月HICP同比初值3.8%，高于8月的3.2%；核心初值为2.5%。在本报告截点，9月数据仍按初值处理。欧美通胀与利率变化强化了中国出口需求、进口成本和估值三方面的外部约束。[W10、S9、S10]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IMF于10月13日发布的官方WEO摘要预计，全球经济2026年增长3.1%、2027年增长3.4%，2026年全球通胀4.7%。预测意味着全球总量增长仍有支撑，但能源进口国与出口国、AI投资受益经济体与其他经济体的处境并不相同。该组数字是预测，不能用作已经实现的增长，更不能据此推出中国出口增速会持续维持9月水平。[S11]</w:t>
      </w:r>
    </w:p>
    <w:p>
      <w:pPr>
        <w:pStyle w:val="Heading2"/>
        <w:keepNext/>
        <w:widowControl/>
        <w:spacing w:before="1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25"/>
          <w:lang w:eastAsia="zh-CN"/>
        </w:rPr>
        <w:t>外部冲击传向中国的三条路径</w:t>
      </w:r>
    </w:p>
    <w:p>
      <w:pPr>
        <w:pStyle w:val="ListBullet"/>
        <w:widowControl/>
        <w:spacing w:before="0" w:after="100" w:line="293" w:lineRule="auto"/>
      </w:pPr>
      <w:r>
        <w:rPr>
          <w:rFonts w:ascii="Songti SC" w:hAnsi="Songti SC" w:eastAsia="Songti SC" w:cs="Songti SC"/>
          <w:b/>
          <w:color w:val="111111"/>
          <w:sz w:val="22"/>
          <w:lang w:eastAsia="zh-CN"/>
        </w:rPr>
        <w:t>利率与估值：</w:t>
      </w: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 xml:space="preserve"> 海外利率及风险溢价上行，可能压低远期盈利的现值；若海外收益率下降来自增长担忧，估值受益也可能被盈利预期下修抵消。美国10年期名义收益率不等同于实际利率，本报告不将二者混用。</w:t>
      </w:r>
    </w:p>
    <w:p>
      <w:pPr>
        <w:pStyle w:val="ListBullet"/>
        <w:widowControl/>
        <w:spacing w:before="0" w:after="100" w:line="293" w:lineRule="auto"/>
      </w:pPr>
      <w:r>
        <w:rPr>
          <w:rFonts w:ascii="Songti SC" w:hAnsi="Songti SC" w:eastAsia="Songti SC" w:cs="Songti SC"/>
          <w:b/>
          <w:color w:val="111111"/>
          <w:sz w:val="22"/>
          <w:lang w:eastAsia="zh-CN"/>
        </w:rPr>
        <w:t>汇率与资金：</w:t>
      </w: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 xml:space="preserve"> 美元走势影响人民币和跨境资产比较，但人民币还受贸易收支、结售汇和政策预期影响。美元指数上涨不保证人民币同步贬值；本月截至15日，两者已出现分化。</w:t>
      </w:r>
    </w:p>
    <w:p>
      <w:pPr>
        <w:pStyle w:val="ListBullet"/>
        <w:widowControl/>
        <w:spacing w:before="0" w:after="100" w:line="293" w:lineRule="auto"/>
      </w:pPr>
      <w:r>
        <w:rPr>
          <w:rFonts w:ascii="Songti SC" w:hAnsi="Songti SC" w:eastAsia="Songti SC" w:cs="Songti SC"/>
          <w:b/>
          <w:color w:val="111111"/>
          <w:sz w:val="22"/>
          <w:lang w:eastAsia="zh-CN"/>
        </w:rPr>
        <w:t>商品与盈利：</w:t>
      </w: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 xml:space="preserve"> 能源和原材料价格变化先影响进口成本、库存和工业品价格，再通过企业提价能力传导到利润及消费。库存计价、套期保值和长协合同会改变企业承受冲击的时点与幅度。</w:t>
      </w:r>
    </w:p>
    <w:p>
      <w:pPr>
        <w:pStyle w:val="Heading1"/>
        <w:keepNext/>
        <w:widowControl/>
        <w:spacing w:before="2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30"/>
          <w:lang w:eastAsia="zh-CN"/>
        </w:rPr>
        <w:t>五 市场已经反映了什么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/>
          <w:color w:val="111111"/>
          <w:sz w:val="22"/>
          <w:lang w:eastAsia="zh-CN"/>
        </w:rPr>
        <w:t>股票走弱而人民币相对稳定。</w:t>
      </w: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 xml:space="preserve"> 沪深300和恒生指数均回落，美元兑人民币报价却小幅下降。它削弱了“人民币贬值是本轮股市下跌唯一原因”的解释，但并不能排除资金结构、盈利预期或海外风险溢价的作用。DR007小幅下降也只说明所观察资金利率变化，不能单独证明股票流动性充裕或债券曲线整体下移。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/>
          <w:color w:val="111111"/>
          <w:sz w:val="22"/>
          <w:lang w:eastAsia="zh-CN"/>
        </w:rPr>
        <w:t>通胀回升而美国长端收益率月内下降。</w:t>
      </w: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 xml:space="preserve"> 美国10年期收益率从9月末5.29%降至5.10%，说明实际价格并未沿“通胀上升、长端收益率必然上升”的单一路径运行。增长预期、已有定价、期限溢价和仓位均是可检验的解释；仅凭这些收盘序列不能分解其贡献，也不能把下行全部归因于非农。</w:t>
      </w:r>
    </w:p>
    <w:p>
      <w:pPr>
        <w:keepNext/>
        <w:widowControl/>
        <w:spacing w:before="120" w:after="100" w:line="293" w:lineRule="auto"/>
      </w:pPr>
      <w:r>
        <w:rPr>
          <w:rFonts w:ascii="Songti SC" w:hAnsi="Songti SC" w:eastAsia="Songti SC" w:cs="Songti SC"/>
          <w:b/>
          <w:color w:val="111111"/>
          <w:sz w:val="21"/>
          <w:lang w:eastAsia="zh-CN"/>
        </w:rPr>
        <w:t>表3 跨资产日终读数比较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5" w:type="dxa"/>
          <w:bottom w:w="55" w:type="dxa"/>
          <w:left w:w="95" w:type="dxa"/>
          <w:right w:w="95" w:type="dxa"/>
        </w:tblCellMar>
      </w:tblPr>
      <w:tblGrid>
        <w:gridCol w:w="3274"/>
        <w:gridCol w:w="1984"/>
        <w:gridCol w:w="1984"/>
        <w:gridCol w:w="2282"/>
      </w:tblGrid>
      <w:tr>
        <w:trPr>
          <w:cantSplit/>
          <w:tblHeader/>
        </w:trPr>
        <w:tc>
          <w:tcPr>
            <w:tcW w:type="dxa" w:w="3274"/>
            <w:vAlign w:val="center"/>
            <w:shd w:fill="163652"/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资产或指标</w:t>
            </w:r>
          </w:p>
        </w:tc>
        <w:tc>
          <w:tcPr>
            <w:tcW w:type="dxa" w:w="1984"/>
            <w:vAlign w:val="center"/>
            <w:shd w:fill="163652"/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9月30日</w:t>
            </w:r>
          </w:p>
        </w:tc>
        <w:tc>
          <w:tcPr>
            <w:tcW w:type="dxa" w:w="1984"/>
            <w:vAlign w:val="center"/>
            <w:shd w:fill="163652"/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10月15日</w:t>
            </w:r>
          </w:p>
        </w:tc>
        <w:tc>
          <w:tcPr>
            <w:tcW w:type="dxa" w:w="2282"/>
            <w:vAlign w:val="center"/>
            <w:shd w:fill="163652"/>
          </w:tcPr>
          <w:p>
            <w:pPr>
              <w:keepNext/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期间变化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沪深300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4357.62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4166.01</w:t>
            </w:r>
          </w:p>
        </w:tc>
        <w:tc>
          <w:tcPr>
            <w:tcW w:type="dxa" w:w="2282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-4.40%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A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恒生指数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24613.27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24062.72</w:t>
            </w:r>
          </w:p>
        </w:tc>
        <w:tc>
          <w:tcPr>
            <w:tcW w:type="dxa" w:w="2282"/>
            <w:vAlign w:val="center"/>
            <w:shd w:fill="F2F6FA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-2.24%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美国10年期国债收益率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5.29%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5.10%</w:t>
            </w:r>
          </w:p>
        </w:tc>
        <w:tc>
          <w:tcPr>
            <w:tcW w:type="dxa" w:w="2282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-19个基点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A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美元指数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101.4743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101.9743</w:t>
            </w:r>
          </w:p>
        </w:tc>
        <w:tc>
          <w:tcPr>
            <w:tcW w:type="dxa" w:w="2282"/>
            <w:vAlign w:val="center"/>
            <w:shd w:fill="F2F6FA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+0.49%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FFFFF"/>
          </w:tcPr>
          <w:p>
            <w:pPr>
              <w:widowControl/>
              <w:spacing w:before="0" w:after="0" w:line="269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美元兑人民币 CFETS即期报价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6.7053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6.6916</w:t>
            </w:r>
          </w:p>
        </w:tc>
        <w:tc>
          <w:tcPr>
            <w:tcW w:type="dxa" w:w="2282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报价下降0.20%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A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DR007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1.3665%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1.3351%</w:t>
            </w:r>
          </w:p>
        </w:tc>
        <w:tc>
          <w:tcPr>
            <w:tcW w:type="dxa" w:w="2282"/>
            <w:vAlign w:val="center"/>
            <w:shd w:fill="F2F6FA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-3.14个基点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伦敦金现 IDC 美元/盎司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4157.41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4170.68</w:t>
            </w:r>
          </w:p>
        </w:tc>
        <w:tc>
          <w:tcPr>
            <w:tcW w:type="dxa" w:w="2282"/>
            <w:vAlign w:val="center"/>
            <w:shd w:fill="FFFFFF"/>
          </w:tcPr>
          <w:p>
            <w:pPr>
              <w:widowControl/>
              <w:spacing w:before="0" w:after="0" w:line="269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+0.32%</w:t>
            </w:r>
          </w:p>
        </w:tc>
      </w:tr>
    </w:tbl>
    <w:p>
      <w:pPr>
        <w:widowControl/>
        <w:spacing w:before="80" w:after="140" w:line="276" w:lineRule="auto"/>
      </w:pP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来源：[W5、W6、W7、W8]。变化由未四舍五入原值计算；指数为价格变动，不含分红及汇兑收益。汇率保留返回的原报价，不另作单位换算。各日终读数的定盘时刻与交易日历不同，并非同一瞬间的截面。黄金序列元数据来源为“根据新闻整理”，仅作交叉观察。</w:t>
      </w:r>
    </w:p>
    <w:p>
      <w:pPr>
        <w:pStyle w:val="Heading2"/>
        <w:keepNext/>
        <w:widowControl/>
        <w:spacing w:before="1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25"/>
          <w:lang w:eastAsia="zh-CN"/>
        </w:rPr>
        <w:t>事件窗口帮助排除错误归因</w:t>
      </w:r>
    </w:p>
    <w:p>
      <w:pPr>
        <w:keepNext/>
        <w:widowControl/>
        <w:spacing w:before="120" w:after="100" w:line="293" w:lineRule="auto"/>
      </w:pPr>
      <w:r>
        <w:rPr>
          <w:rFonts w:ascii="Songti SC" w:hAnsi="Songti SC" w:eastAsia="Songti SC" w:cs="Songti SC"/>
          <w:b/>
          <w:color w:val="111111"/>
          <w:sz w:val="21"/>
          <w:lang w:eastAsia="zh-CN"/>
        </w:rPr>
        <w:t>表4 10月14日与15日中国股票价格变动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2" w:type="dxa"/>
          <w:bottom w:w="82" w:type="dxa"/>
          <w:left w:w="95" w:type="dxa"/>
          <w:right w:w="95" w:type="dxa"/>
        </w:tblCellMar>
      </w:tblPr>
      <w:tblGrid>
        <w:gridCol w:w="1415"/>
        <w:gridCol w:w="1509"/>
        <w:gridCol w:w="1509"/>
        <w:gridCol w:w="5092"/>
      </w:tblGrid>
      <w:tr>
        <w:trPr>
          <w:cantSplit/>
          <w:tblHeader/>
        </w:trPr>
        <w:tc>
          <w:tcPr>
            <w:tcW w:type="dxa" w:w="1415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日期</w:t>
            </w:r>
          </w:p>
        </w:tc>
        <w:tc>
          <w:tcPr>
            <w:tcW w:type="dxa" w:w="1509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沪深300</w:t>
            </w:r>
          </w:p>
        </w:tc>
        <w:tc>
          <w:tcPr>
            <w:tcW w:type="dxa" w:w="1509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恒生指数</w:t>
            </w:r>
          </w:p>
        </w:tc>
        <w:tc>
          <w:tcPr>
            <w:tcW w:type="dxa" w:w="5092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可做与不可做的解释</w:t>
            </w:r>
          </w:p>
        </w:tc>
      </w:tr>
      <w:tr>
        <w:trPr>
          <w:cantSplit/>
        </w:trPr>
        <w:tc>
          <w:tcPr>
            <w:tcW w:type="dxa" w:w="1415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10月14日</w:t>
            </w:r>
          </w:p>
        </w:tc>
        <w:tc>
          <w:tcPr>
            <w:tcW w:type="dxa" w:w="1509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-1.36%</w:t>
            </w:r>
          </w:p>
        </w:tc>
        <w:tc>
          <w:tcPr>
            <w:tcW w:type="dxa" w:w="1509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-0.13%</w:t>
            </w:r>
          </w:p>
        </w:tc>
        <w:tc>
          <w:tcPr>
            <w:tcW w:type="dxa" w:w="5092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中国价格与贸易数据在本地交易时段公布；20:30发布的美国CPI结果不能成为收盘前已知信息，但公布前预期仍可能影响交易</w:t>
            </w:r>
          </w:p>
        </w:tc>
      </w:tr>
      <w:tr>
        <w:trPr>
          <w:cantSplit/>
        </w:trPr>
        <w:tc>
          <w:tcPr>
            <w:tcW w:type="dxa" w:w="1415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10月15日</w:t>
            </w:r>
          </w:p>
        </w:tc>
        <w:tc>
          <w:tcPr>
            <w:tcW w:type="dxa" w:w="1509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-1.23%</w:t>
            </w:r>
          </w:p>
        </w:tc>
        <w:tc>
          <w:tcPr>
            <w:tcW w:type="dxa" w:w="1509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-1.03%</w:t>
            </w:r>
          </w:p>
        </w:tc>
        <w:tc>
          <w:tcPr>
            <w:tcW w:type="dxa" w:w="5092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已处于美国CPI发布后的本地交易日，但还混合其他消息和仓位变化；不能仅凭日收益识别单一事件因果</w:t>
            </w:r>
          </w:p>
        </w:tc>
      </w:tr>
    </w:tbl>
    <w:p>
      <w:pPr>
        <w:widowControl/>
        <w:spacing w:before="80" w:after="140" w:line="276" w:lineRule="auto"/>
      </w:pP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来源：[W7、W8、S2、S4、S7]。日收益采用前一交易日收盘计算。日度窗口用于时间先后检查，不构成控制其他因素后的事件研究。</w:t>
      </w:r>
    </w:p>
    <w:p>
      <w:pPr>
        <w:pStyle w:val="Heading1"/>
        <w:keepNext/>
        <w:widowControl/>
        <w:spacing w:before="2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30"/>
          <w:lang w:eastAsia="zh-CN"/>
        </w:rPr>
        <w:t>六 板块与风格的差异化影响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最值得留意的错位包括：上游涨价但资源股不涨，可能反映市场更关注未来需求或涨价持续性；海外利率下降但成长股下跌，可能反映盈利和风险偏好压力大于折现率改善；人民币走强但港股下跌，也可能反映海外贴现率和企业盈利因素。以上均为待验证解释，需用行业价格、业绩与资金证据逐一检验。</w:t>
      </w:r>
    </w:p>
    <w:p>
      <w:pPr>
        <w:keepNext/>
        <w:widowControl/>
        <w:spacing w:before="120" w:after="100" w:line="293" w:lineRule="auto"/>
      </w:pPr>
      <w:r>
        <w:rPr>
          <w:rFonts w:ascii="Songti SC" w:hAnsi="Songti SC" w:eastAsia="Songti SC" w:cs="Songti SC"/>
          <w:b/>
          <w:color w:val="111111"/>
          <w:sz w:val="21"/>
          <w:lang w:eastAsia="zh-CN"/>
        </w:rPr>
        <w:t>表5 行业与风格敏感度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2" w:type="dxa"/>
          <w:bottom w:w="82" w:type="dxa"/>
          <w:left w:w="95" w:type="dxa"/>
          <w:right w:w="95" w:type="dxa"/>
        </w:tblCellMar>
      </w:tblPr>
      <w:tblGrid>
        <w:gridCol w:w="1557"/>
        <w:gridCol w:w="2473"/>
        <w:gridCol w:w="2564"/>
        <w:gridCol w:w="2931"/>
      </w:tblGrid>
      <w:tr>
        <w:trPr>
          <w:cantSplit/>
          <w:tblHeader/>
        </w:trPr>
        <w:tc>
          <w:tcPr>
            <w:tcW w:type="dxa" w:w="1557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方向</w:t>
            </w:r>
          </w:p>
        </w:tc>
        <w:tc>
          <w:tcPr>
            <w:tcW w:type="dxa" w:w="2473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主要影响渠道</w:t>
            </w:r>
          </w:p>
        </w:tc>
        <w:tc>
          <w:tcPr>
            <w:tcW w:type="dxa" w:w="2564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相对有利的条件</w:t>
            </w:r>
          </w:p>
        </w:tc>
        <w:tc>
          <w:tcPr>
            <w:tcW w:type="dxa" w:w="2931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需要警惕的反向结果</w:t>
            </w:r>
          </w:p>
        </w:tc>
      </w:tr>
      <w:tr>
        <w:trPr>
          <w:cantSplit/>
        </w:trPr>
        <w:tc>
          <w:tcPr>
            <w:tcW w:type="dxa" w:w="1557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上游能源与资源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售价、库存和成本差影响盈利</w:t>
            </w:r>
          </w:p>
        </w:tc>
        <w:tc>
          <w:tcPr>
            <w:tcW w:type="dxa" w:w="2564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产品价格与销量共同维持，成本和资本开支可控</w:t>
            </w:r>
          </w:p>
        </w:tc>
        <w:tc>
          <w:tcPr>
            <w:tcW w:type="dxa" w:w="2931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需求转弱或价格回落，可能抵消阶段性涨价收益</w:t>
            </w:r>
          </w:p>
        </w:tc>
      </w:tr>
      <w:tr>
        <w:trPr>
          <w:cantSplit/>
        </w:trPr>
        <w:tc>
          <w:tcPr>
            <w:tcW w:type="dxa" w:w="1557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中游制造与可选消费</w:t>
            </w:r>
          </w:p>
        </w:tc>
        <w:tc>
          <w:tcPr>
            <w:tcW w:type="dxa" w:w="2473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原材料成本、终端提价能力影响毛利</w:t>
            </w:r>
          </w:p>
        </w:tc>
        <w:tc>
          <w:tcPr>
            <w:tcW w:type="dxa" w:w="2564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订单改善且可以转嫁成本，现金回款跟进</w:t>
            </w:r>
          </w:p>
        </w:tc>
        <w:tc>
          <w:tcPr>
            <w:tcW w:type="dxa" w:w="2931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仅上游涨价、终端需求不足时，收入增长仍可伴随利润下降</w:t>
            </w:r>
          </w:p>
        </w:tc>
      </w:tr>
      <w:tr>
        <w:trPr>
          <w:cantSplit/>
        </w:trPr>
        <w:tc>
          <w:tcPr>
            <w:tcW w:type="dxa" w:w="1557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科技成长与AI链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海外折现率影响估值，实际订单影响盈利</w:t>
            </w:r>
          </w:p>
        </w:tc>
        <w:tc>
          <w:tcPr>
            <w:tcW w:type="dxa" w:w="2564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资本开支持续并兑现收入和现金流，估值可被盈利消化</w:t>
            </w:r>
          </w:p>
        </w:tc>
        <w:tc>
          <w:tcPr>
            <w:tcW w:type="dxa" w:w="2931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宏观成本、海外利率或订单不及预期，会放大估值波动</w:t>
            </w:r>
          </w:p>
        </w:tc>
      </w:tr>
      <w:tr>
        <w:trPr>
          <w:cantSplit/>
        </w:trPr>
        <w:tc>
          <w:tcPr>
            <w:tcW w:type="dxa" w:w="1557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出口制造</w:t>
            </w:r>
          </w:p>
        </w:tc>
        <w:tc>
          <w:tcPr>
            <w:tcW w:type="dxa" w:w="2473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海外需求、汇率、进口零部件成本及产品结构</w:t>
            </w:r>
          </w:p>
        </w:tc>
        <w:tc>
          <w:tcPr>
            <w:tcW w:type="dxa" w:w="2564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交付与新增订单相互印证，利润与现金流同步改善</w:t>
            </w:r>
          </w:p>
        </w:tc>
        <w:tc>
          <w:tcPr>
            <w:tcW w:type="dxa" w:w="2931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美元计出口强不等于人民币利润强；人民币升值也可能压低结汇收入</w:t>
            </w:r>
          </w:p>
        </w:tc>
      </w:tr>
      <w:tr>
        <w:trPr>
          <w:cantSplit/>
        </w:trPr>
        <w:tc>
          <w:tcPr>
            <w:tcW w:type="dxa" w:w="1557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银行与高股息</w:t>
            </w:r>
          </w:p>
        </w:tc>
        <w:tc>
          <w:tcPr>
            <w:tcW w:type="dxa" w:w="2473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信贷需求、资产质量、分红与相对收益</w:t>
            </w:r>
          </w:p>
        </w:tc>
        <w:tc>
          <w:tcPr>
            <w:tcW w:type="dxa" w:w="2564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现金流和分红可持续，信用成本稳定</w:t>
            </w:r>
          </w:p>
        </w:tc>
        <w:tc>
          <w:tcPr>
            <w:tcW w:type="dxa" w:w="2931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红利不是无风险资产；盈利下降、分红削减或风险溢价上升仍可压价</w:t>
            </w:r>
          </w:p>
        </w:tc>
      </w:tr>
      <w:tr>
        <w:trPr>
          <w:cantSplit/>
        </w:trPr>
        <w:tc>
          <w:tcPr>
            <w:tcW w:type="dxa" w:w="1557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地产链与内需服务</w:t>
            </w:r>
          </w:p>
        </w:tc>
        <w:tc>
          <w:tcPr>
            <w:tcW w:type="dxa" w:w="2473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销售回款、居民融资、财政执行和消费</w:t>
            </w:r>
          </w:p>
        </w:tc>
        <w:tc>
          <w:tcPr>
            <w:tcW w:type="dxa" w:w="2564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成交到回款再到投资逐步改善，消费数量和价格共同修复</w:t>
            </w:r>
          </w:p>
        </w:tc>
        <w:tc>
          <w:tcPr>
            <w:tcW w:type="dxa" w:w="2931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融资或政策消息先改善，不代表销售、盈利及居民需求同步见底</w:t>
            </w:r>
          </w:p>
        </w:tc>
      </w:tr>
    </w:tbl>
    <w:p>
      <w:pPr>
        <w:widowControl/>
        <w:spacing w:before="80" w:after="140" w:line="276" w:lineRule="auto"/>
      </w:pP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分析推断。缺乏分行业收益、估值及盈利预测数据时，本表只表达条件性敏感度，不排列已经实现的行业强弱。</w:t>
      </w:r>
    </w:p>
    <w:p>
      <w:pPr>
        <w:pStyle w:val="Heading1"/>
        <w:keepNext/>
        <w:widowControl/>
        <w:spacing w:before="2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30"/>
          <w:lang w:eastAsia="zh-CN"/>
        </w:rPr>
        <w:t>七 短线与中期判断</w:t>
      </w:r>
    </w:p>
    <w:p>
      <w:pPr>
        <w:pStyle w:val="Heading2"/>
        <w:keepNext/>
        <w:widowControl/>
        <w:spacing w:before="1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25"/>
          <w:lang w:eastAsia="zh-CN"/>
        </w:rPr>
        <w:t>短线关注预期是否继续修正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未来1至5个交易日，重点是国内即将发布的增长组合是否能改变“生产强于需求”的认识，以及市场对月底海外政策的判断如何调整。若工业数据较强而零售、投资、居民融资仍弱，全面复苏的证据仍不足；若价格压力继续被强调，缺乏提价能力与现金流支撑的公司可能更敏感。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事件发布后应先比较预期和结构，再检查股债汇的同向或错位反应。若股票上涨而成交与盈利预期没有跟进，不能仅凭一天价格确认中期环境切换；若股票下跌也不能机械推定所有宏观数据均为利空。</w:t>
      </w:r>
    </w:p>
    <w:p>
      <w:pPr>
        <w:pStyle w:val="Heading2"/>
        <w:keepNext/>
        <w:widowControl/>
        <w:spacing w:before="1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25"/>
          <w:lang w:eastAsia="zh-CN"/>
        </w:rPr>
        <w:t>中期以需求与成本能否重新匹配为主线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当前更合理的研究顺序是先确认需求和利润，再判断估值能否持续扩张。仓位与交易需要另结合投资期限、现有持仓、估值和风险预算，本报告不从宏观数据直接推导统一仓位比例。</w:t>
      </w:r>
    </w:p>
    <w:p>
      <w:pPr>
        <w:keepNext/>
        <w:widowControl/>
        <w:spacing w:before="120" w:after="100" w:line="293" w:lineRule="auto"/>
      </w:pPr>
      <w:r>
        <w:rPr>
          <w:rFonts w:ascii="Songti SC" w:hAnsi="Songti SC" w:eastAsia="Songti SC" w:cs="Songti SC"/>
          <w:b/>
          <w:color w:val="111111"/>
          <w:sz w:val="21"/>
          <w:lang w:eastAsia="zh-CN"/>
        </w:rPr>
        <w:t>表6 未来1至3个月的条件情景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2" w:type="dxa"/>
          <w:bottom w:w="82" w:type="dxa"/>
          <w:left w:w="95" w:type="dxa"/>
          <w:right w:w="95" w:type="dxa"/>
        </w:tblCellMar>
      </w:tblPr>
      <w:tblGrid>
        <w:gridCol w:w="1349"/>
        <w:gridCol w:w="2950"/>
        <w:gridCol w:w="2950"/>
        <w:gridCol w:w="2276"/>
      </w:tblGrid>
      <w:tr>
        <w:trPr>
          <w:cantSplit/>
          <w:tblHeader/>
        </w:trPr>
        <w:tc>
          <w:tcPr>
            <w:tcW w:type="dxa" w:w="1349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情景</w:t>
            </w:r>
          </w:p>
        </w:tc>
        <w:tc>
          <w:tcPr>
            <w:tcW w:type="dxa" w:w="2950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需要出现的证据</w:t>
            </w:r>
          </w:p>
        </w:tc>
        <w:tc>
          <w:tcPr>
            <w:tcW w:type="dxa" w:w="2950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资产与行业含义</w:t>
            </w:r>
          </w:p>
        </w:tc>
        <w:tc>
          <w:tcPr>
            <w:tcW w:type="dxa" w:w="2276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主要反证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延续分化</w:t>
              <w:br/>
              <w:t>当前工作判断</w:t>
            </w:r>
          </w:p>
        </w:tc>
        <w:tc>
          <w:tcPr>
            <w:tcW w:type="dxa" w:w="2950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生产和出口维持，内需与私人信用修复偏慢，成本压力尚在</w:t>
            </w:r>
          </w:p>
        </w:tc>
        <w:tc>
          <w:tcPr>
            <w:tcW w:type="dxa" w:w="2950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指数更依赖盈利兑现；关注定价能力、现金流及估值承受力</w:t>
            </w:r>
          </w:p>
        </w:tc>
        <w:tc>
          <w:tcPr>
            <w:tcW w:type="dxa" w:w="2276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订单、零售、居民信用与民间投资出现持续共同改善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需求改善扩散</w:t>
            </w:r>
          </w:p>
        </w:tc>
        <w:tc>
          <w:tcPr>
            <w:tcW w:type="dxa" w:w="2950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新增订单、消费、私人中长期融资与企业现金流共同改善</w:t>
            </w:r>
          </w:p>
        </w:tc>
        <w:tc>
          <w:tcPr>
            <w:tcW w:type="dxa" w:w="2950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盈利改善有望向中下游扩散，顺周期与内需方向获得更强基础</w:t>
            </w:r>
          </w:p>
        </w:tc>
        <w:tc>
          <w:tcPr>
            <w:tcW w:type="dxa" w:w="2276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只见上游价格或政府融资上升，终端需求未跟进</w:t>
            </w:r>
          </w:p>
        </w:tc>
      </w:tr>
      <w:tr>
        <w:trPr>
          <w:cantSplit/>
        </w:trPr>
        <w:tc>
          <w:tcPr>
            <w:tcW w:type="dxa" w:w="1349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外部压力强化</w:t>
            </w:r>
          </w:p>
        </w:tc>
        <w:tc>
          <w:tcPr>
            <w:tcW w:type="dxa" w:w="2950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能源再涨、海外通胀扩散且政策进一步紧缩，订单或国内需求走弱</w:t>
            </w:r>
          </w:p>
        </w:tc>
        <w:tc>
          <w:tcPr>
            <w:tcW w:type="dxa" w:w="2950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进口成本与折现率共同施压，外币融资与薄利企业更脆弱</w:t>
            </w:r>
          </w:p>
        </w:tc>
        <w:tc>
          <w:tcPr>
            <w:tcW w:type="dxa" w:w="2276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能源压力回落、海外核心通胀改善且增长没有明显失速</w:t>
            </w:r>
          </w:p>
        </w:tc>
      </w:tr>
    </w:tbl>
    <w:p>
      <w:pPr>
        <w:widowControl/>
        <w:spacing w:before="80" w:after="140" w:line="276" w:lineRule="auto"/>
      </w:pP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不赋予机械概率或指数目标价。情景是研究假设，证据需跨指标、跨月份相互印证；基准情景并不预设股价必然下跌。</w:t>
      </w:r>
    </w:p>
    <w:p>
      <w:pPr>
        <w:pStyle w:val="Heading1"/>
        <w:keepNext/>
        <w:widowControl/>
        <w:spacing w:before="2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30"/>
          <w:lang w:eastAsia="zh-CN"/>
        </w:rPr>
        <w:t>八 后续观察清单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最能改变本报告判断的证据，是终端需求、私人信用与企业盈利在后续数据中共同改善；最需防范的相反证据，是能源成本和海外紧缩压力强化，而新增订单与国内需求进一步走弱。单项好转或单日股价反应均不足以替代这一组合验证。</w:t>
      </w:r>
    </w:p>
    <w:p>
      <w:pPr>
        <w:keepNext/>
        <w:widowControl/>
        <w:spacing w:before="120" w:after="100" w:line="293" w:lineRule="auto"/>
      </w:pPr>
      <w:r>
        <w:rPr>
          <w:rFonts w:ascii="Songti SC" w:hAnsi="Songti SC" w:eastAsia="Songti SC" w:cs="Songti SC"/>
          <w:b/>
          <w:color w:val="111111"/>
          <w:sz w:val="21"/>
          <w:lang w:eastAsia="zh-CN"/>
        </w:rPr>
        <w:t>表7 截点之后的重要窗口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2" w:type="dxa"/>
          <w:bottom w:w="82" w:type="dxa"/>
          <w:left w:w="95" w:type="dxa"/>
          <w:right w:w="95" w:type="dxa"/>
        </w:tblCellMar>
      </w:tblPr>
      <w:tblGrid>
        <w:gridCol w:w="1961"/>
        <w:gridCol w:w="2241"/>
        <w:gridCol w:w="5322"/>
      </w:tblGrid>
      <w:tr>
        <w:trPr>
          <w:cantSplit/>
          <w:tblHeader/>
        </w:trPr>
        <w:tc>
          <w:tcPr>
            <w:tcW w:type="dxa" w:w="1961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时间 北京时间</w:t>
            </w:r>
          </w:p>
        </w:tc>
        <w:tc>
          <w:tcPr>
            <w:tcW w:type="dxa" w:w="2241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事件或指标</w:t>
            </w:r>
          </w:p>
        </w:tc>
        <w:tc>
          <w:tcPr>
            <w:tcW w:type="dxa" w:w="5322"/>
            <w:vAlign w:val="center"/>
            <w:shd w:fill="163652"/>
          </w:tcPr>
          <w:p>
            <w:pPr>
              <w:keepNext/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FFFFFF"/>
                <w:sz w:val="20"/>
                <w:lang w:eastAsia="zh-CN"/>
              </w:rPr>
              <w:t>应回答的问题</w:t>
            </w:r>
          </w:p>
        </w:tc>
      </w:tr>
      <w:tr>
        <w:trPr>
          <w:cantSplit/>
        </w:trPr>
        <w:tc>
          <w:tcPr>
            <w:tcW w:type="dxa" w:w="1961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10月16日20:30</w:t>
            </w:r>
          </w:p>
        </w:tc>
        <w:tc>
          <w:tcPr>
            <w:tcW w:type="dxa" w:w="2241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美国9月进出口价格</w:t>
            </w:r>
          </w:p>
        </w:tc>
        <w:tc>
          <w:tcPr>
            <w:tcW w:type="dxa" w:w="5322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进口与出口价格是否显示更广泛的成本传导；该发布晚于本报告截点</w:t>
            </w:r>
          </w:p>
        </w:tc>
      </w:tr>
      <w:tr>
        <w:trPr>
          <w:cantSplit/>
        </w:trPr>
        <w:tc>
          <w:tcPr>
            <w:tcW w:type="dxa" w:w="1961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10月19日09:30及10:00</w:t>
            </w:r>
          </w:p>
        </w:tc>
        <w:tc>
          <w:tcPr>
            <w:tcW w:type="dxa" w:w="2241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中国住宅价格、三季度GDP与9月活动数据</w:t>
            </w:r>
          </w:p>
        </w:tc>
        <w:tc>
          <w:tcPr>
            <w:tcW w:type="dxa" w:w="5322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地产成交与价格是否改善；工业、消费、投资能否共同支持需求修复</w:t>
            </w:r>
          </w:p>
        </w:tc>
      </w:tr>
      <w:tr>
        <w:trPr>
          <w:cantSplit/>
        </w:trPr>
        <w:tc>
          <w:tcPr>
            <w:tcW w:type="dxa" w:w="1961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10月27日</w:t>
            </w:r>
          </w:p>
        </w:tc>
        <w:tc>
          <w:tcPr>
            <w:tcW w:type="dxa" w:w="2241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中国工业企业利润</w:t>
            </w:r>
          </w:p>
        </w:tc>
        <w:tc>
          <w:tcPr>
            <w:tcW w:type="dxa" w:w="5322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价格上涨是否转化为行业利润，利润改善是否由上游向中下游扩散</w:t>
            </w:r>
          </w:p>
        </w:tc>
      </w:tr>
      <w:tr>
        <w:trPr>
          <w:cantSplit/>
        </w:trPr>
        <w:tc>
          <w:tcPr>
            <w:tcW w:type="dxa" w:w="1961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10月27至28日 美国当地</w:t>
            </w:r>
          </w:p>
        </w:tc>
        <w:tc>
          <w:tcPr>
            <w:tcW w:type="dxa" w:w="2241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FOMC会议</w:t>
              <w:br/>
              <w:t>北京时间29日02:00决议</w:t>
              <w:br/>
              <w:t>02:30记者会</w:t>
            </w:r>
          </w:p>
        </w:tc>
        <w:tc>
          <w:tcPr>
            <w:tcW w:type="dxa" w:w="5322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就业与通胀的权衡是否改变政策路径；实际结果与届时会前定价差多少</w:t>
            </w:r>
          </w:p>
        </w:tc>
      </w:tr>
      <w:tr>
        <w:trPr>
          <w:cantSplit/>
        </w:trPr>
        <w:tc>
          <w:tcPr>
            <w:tcW w:type="dxa" w:w="1961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10月31日09:30</w:t>
            </w:r>
          </w:p>
        </w:tc>
        <w:tc>
          <w:tcPr>
            <w:tcW w:type="dxa" w:w="2241"/>
            <w:vAlign w:val="center"/>
            <w:shd w:fill="FFFFFF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中国10月PMI</w:t>
            </w:r>
          </w:p>
        </w:tc>
        <w:tc>
          <w:tcPr>
            <w:tcW w:type="dxa" w:w="5322"/>
            <w:vAlign w:val="center"/>
            <w:shd w:fill="FFFFFF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生产与订单是否趋于一致，中小企业景气与价格压力如何变化</w:t>
            </w:r>
          </w:p>
        </w:tc>
      </w:tr>
      <w:tr>
        <w:trPr>
          <w:cantSplit/>
        </w:trPr>
        <w:tc>
          <w:tcPr>
            <w:tcW w:type="dxa" w:w="1961"/>
            <w:vAlign w:val="center"/>
            <w:shd w:fill="F2F6FA"/>
          </w:tcPr>
          <w:p>
            <w:pPr>
              <w:widowControl/>
              <w:spacing w:before="0" w:after="0" w:line="274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持续跟踪</w:t>
            </w:r>
          </w:p>
        </w:tc>
        <w:tc>
          <w:tcPr>
            <w:tcW w:type="dxa" w:w="2241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人民币、海外利率、能源及信用结构</w:t>
            </w:r>
          </w:p>
        </w:tc>
        <w:tc>
          <w:tcPr>
            <w:tcW w:type="dxa" w:w="5322"/>
            <w:vAlign w:val="center"/>
            <w:shd w:fill="F2F6FA"/>
          </w:tcPr>
          <w:p>
            <w:pPr>
              <w:widowControl/>
              <w:spacing w:before="0" w:after="0" w:line="274" w:lineRule="auto"/>
            </w:pPr>
            <w:r>
              <w:rPr>
                <w:rFonts w:ascii="Songti SC" w:hAnsi="Songti SC" w:eastAsia="Songti SC" w:cs="Songti SC"/>
                <w:b w:val="0"/>
                <w:color w:val="111111"/>
                <w:sz w:val="20"/>
                <w:lang w:eastAsia="zh-CN"/>
              </w:rPr>
              <w:t>美元与人民币是否继续分化；居民和企业融资是否接力政府融资；财政是否形成实际支出</w:t>
            </w:r>
          </w:p>
        </w:tc>
      </w:tr>
    </w:tbl>
    <w:p>
      <w:pPr>
        <w:widowControl/>
        <w:spacing w:before="80" w:after="140" w:line="276" w:lineRule="auto"/>
      </w:pP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日程来源：[S12、S13、S14]，以发布机构最终安排为准。住宅价格与活动数据时间分列；国内9月活动数据在截点尚未发布，10月PMI属于未来事件。</w:t>
      </w:r>
    </w:p>
    <w:p>
      <w:pPr>
        <w:pStyle w:val="Heading1"/>
        <w:keepNext/>
        <w:widowControl/>
        <w:spacing w:before="2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30"/>
          <w:lang w:eastAsia="zh-CN"/>
        </w:rPr>
        <w:t>九 数据口径与版本说明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本报告中国、美国主要宏观指标与跨资产读数来自Wind查询结果，并以发布机构原文或官方转载核对结构和时点。Wind序列为查询时可得版本，不是锁定的历史首发数据库；元数据更新日也不等于原始公布时刻。美国就业前值采用本次发布中的修订值，预测与初值均在正文单列。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2026年中国CPI启用2025年基期，跨较长历史区间研究时应检查权重变化；本报告使用官方发布的同比增速。M1采用查询时现行统计口径，跨口径的长期比较需另行处理。本报告不将同比与环比、累计与单月、名义与实际、人民币与美元金额混算。[S2、S3]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22"/>
          <w:lang w:eastAsia="zh-CN"/>
        </w:rPr>
        <w:t>指数变化按期末除以期初减一计算，利率变化以百分点乘100换算为基点。价格表不包含分红再投资或汇兑收益；不同市场日历与日终时刻不完全一致。市场归因、行业敏感度和中期情景均为分析判断，未通过本项目回测验证。</w:t>
      </w:r>
    </w:p>
    <w:p>
      <w:pPr>
        <w:pStyle w:val="Heading1"/>
        <w:keepNext/>
        <w:widowControl/>
        <w:spacing w:before="260" w:after="120" w:line="276" w:lineRule="auto"/>
      </w:pPr>
      <w:r>
        <w:rPr>
          <w:rFonts w:ascii="PingFang SC" w:hAnsi="PingFang SC" w:eastAsia="PingFang SC" w:cs="PingFang SC"/>
          <w:b/>
          <w:color w:val="000000"/>
          <w:sz w:val="30"/>
          <w:lang w:eastAsia="zh-CN"/>
        </w:rPr>
        <w:t>资料来源与定位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[W1] </w:t>
      </w: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>Wind EDB 中国价格与PMI</w:t>
      </w: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。万得金融数据服务；2026-10-16查询；M0017126制造业PMI，M0331594一致预测，M0000612 CPI，M0001227 PPI；观察期2026年6至9月。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[W2] </w:t>
      </w: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>Wind EDB 中国订单分项</w:t>
      </w: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。万得金融数据服务；2026-10-16查询；M0017128新订单、M0017129新出口订单；8月与9月。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[W3] </w:t>
      </w: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>Wind EDB 中国货币信用与外贸</w:t>
      </w: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。万得金融数据服务；2026-10-16查询；M0001383 M1、M0001385 M2、M5525763社融存量同比、M5206730社融增量、M0009973新增贷款、M0000607出口同比、M0000609进口同比。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[W4] </w:t>
      </w:r>
      <w:hyperlink r:id="rId9">
        <w:r>
          <w:rPr>
            <w:rFonts w:ascii="Songti SC" w:hAnsi="Songti SC" w:eastAsia="Songti SC" w:cs="Songti SC"/>
            <w:color w:val="163652"/>
            <w:sz w:val="19"/>
          </w:rPr>
          <w:t>中国9月价格数据所载预期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。Wind财经新闻检索；2026-10-14及15日报道；《金研 点今 中国9月出口同比增长36.3%》载CPI预期1.0%、PPI4.3%；第二种预测口径见W4b，采用范围比较。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[W4b] </w:t>
      </w:r>
      <w:hyperlink r:id="rId10">
        <w:r>
          <w:rPr>
            <w:rFonts w:ascii="Songti SC" w:hAnsi="Songti SC" w:eastAsia="Songti SC" w:cs="Songti SC"/>
            <w:color w:val="163652"/>
            <w:sz w:val="19"/>
          </w:rPr>
          <w:t>中国9月CPI同比涨幅扩大至0.9% PPI同比涨5.0%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。Wind财经新闻返回条目 原始链接搜狐；2026-10-14；条目载PPI预估4.4%；作为另一报道基线，不视为与W4同一共识样本。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[W5] </w:t>
      </w: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>Wind EDB 美国宏观与金融指标</w:t>
      </w: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。万得金融数据服务；2026-10-16查询；G0000027 CPI、G0000029核心CPI、G0000070新增非农 千人、G0000067失业率、M0000162政策利率上限、G0000891美国10年期国债收益率、M0000271美元指数。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[W6] </w:t>
      </w: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>Wind EDB 汇率资金与黄金</w:t>
      </w: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。万得金融数据服务；2026-10-16查询；M0067855 CFETS美元兑人民币即期报价、M1006337 DR007、S0270980伦敦金现IDC；9月30日至10月15日。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[W7] </w:t>
      </w: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>Wind 沪深300日K线</w:t>
      </w: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。万得金融数据服务；2026-10-16查询；index_data get_index_kline，000300.SH，2026-09-30至2026-10-15，period 1d；采用MATCH字段的日收盘读数。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[W8] </w:t>
      </w: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>Wind 恒生指数日K线</w:t>
      </w: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。万得金融数据服务；2026-10-16查询；index_data get_index_kline，HSI.HI，同上日期范围；价格指数变化。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[W9] </w:t>
      </w:r>
      <w:hyperlink r:id="rId11">
        <w:r>
          <w:rPr>
            <w:rFonts w:ascii="Songti SC" w:hAnsi="Songti SC" w:eastAsia="Songti SC" w:cs="Songti SC"/>
            <w:color w:val="163652"/>
            <w:sz w:val="19"/>
          </w:rPr>
          <w:t>美国非农发布前预览与结果快讯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。Wind财经新闻检索；2026-10-02；预览题名《9月新增就业料降至9万 今夜非农真正的炸点 或在8月数据是否大幅下修》；采用其中9万人预测，不采用文中仓位与概率估算。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[W10] </w:t>
      </w: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>Wind EDB 增长地产与欧洲指标</w:t>
      </w:r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。万得金融数据服务；2026-10-16查询；M0039354 GDP，M0000545工业增加值，M0001428社零，M0000273固定资产投资，S0029657房地产开发投资，A7546569扣除地产民间投资，G0926423 ECB存款便利利率，V1988624核心HICP。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[S1] </w:t>
      </w:r>
      <w:hyperlink r:id="rId12">
        <w:r>
          <w:rPr>
            <w:rFonts w:ascii="Songti SC" w:hAnsi="Songti SC" w:eastAsia="Songti SC" w:cs="Songti SC"/>
            <w:color w:val="163652"/>
            <w:sz w:val="19"/>
          </w:rPr>
          <w:t>2026年9月中国采购经理指数运行情况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。国家统计局；2026-09-30；制造业PMI正文及分类指数表；分类指数按国家统计局公开索引核对。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[S2] </w:t>
      </w:r>
      <w:hyperlink r:id="rId13">
        <w:r>
          <w:rPr>
            <w:rFonts w:ascii="Songti SC" w:hAnsi="Songti SC" w:eastAsia="Songti SC" w:cs="Songti SC"/>
            <w:color w:val="163652"/>
            <w:sz w:val="19"/>
          </w:rPr>
          <w:t>国家统计局解读9月CPI与PPI及价格原表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 xml:space="preserve">。国家统计局；2026-10-14 09:30；结构与能源成本传导；CPI原表 </w:t>
      </w:r>
      <w:hyperlink r:id="rId14">
        <w:r>
          <w:rPr>
            <w:rFonts w:ascii="Songti SC" w:hAnsi="Songti SC" w:eastAsia="Songti SC" w:cs="Songti SC"/>
            <w:color w:val="163652"/>
            <w:sz w:val="19"/>
          </w:rPr>
          <w:t>相关原文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 xml:space="preserve"> ；PPI原表 </w:t>
      </w:r>
      <w:hyperlink r:id="rId15">
        <w:r>
          <w:rPr>
            <w:rFonts w:ascii="Songti SC" w:hAnsi="Songti SC" w:eastAsia="Songti SC" w:cs="Songti SC"/>
            <w:color w:val="163652"/>
            <w:sz w:val="19"/>
          </w:rPr>
          <w:t>相关原文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[S3] </w:t>
      </w:r>
      <w:hyperlink r:id="rId16">
        <w:r>
          <w:rPr>
            <w:rFonts w:ascii="Songti SC" w:hAnsi="Songti SC" w:eastAsia="Songti SC" w:cs="Songti SC"/>
            <w:color w:val="163652"/>
            <w:sz w:val="19"/>
          </w:rPr>
          <w:t>2026年前三季度金融统计数据报告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。中国人民银行；2026-10-14 17:00；融资存量结构及前三季度住户贷款累计变化。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[S4] </w:t>
      </w:r>
      <w:hyperlink r:id="rId17">
        <w:r>
          <w:rPr>
            <w:rFonts w:ascii="Songti SC" w:hAnsi="Songti SC" w:eastAsia="Songti SC" w:cs="Songti SC"/>
            <w:color w:val="163652"/>
            <w:sz w:val="19"/>
          </w:rPr>
          <w:t>9月进出口首破5万亿元 装备制造业贡献近9成出口增量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。湖南省工业和信息化厅官方转载；2026-10-15 10:02；海关10月14日发布会官方转载；采用累计人民币口径结构。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[S5] </w:t>
      </w:r>
      <w:hyperlink r:id="rId18">
        <w:r>
          <w:rPr>
            <w:rFonts w:ascii="Songti SC" w:hAnsi="Songti SC" w:eastAsia="Songti SC" w:cs="Songti SC"/>
            <w:color w:val="163652"/>
            <w:sz w:val="19"/>
          </w:rPr>
          <w:t>9月FOMC声明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。美国联邦储备委员会；2026-09-16 14:00 EDT。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[S6] </w:t>
      </w:r>
      <w:hyperlink r:id="rId19">
        <w:r>
          <w:rPr>
            <w:rFonts w:ascii="Songti SC" w:hAnsi="Songti SC" w:eastAsia="Songti SC" w:cs="Songti SC"/>
            <w:color w:val="163652"/>
            <w:sz w:val="19"/>
          </w:rPr>
          <w:t>9月经济预测及FOMC会议纪要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。美国联邦储备委员会；2026-09-16及10-07；纪要：</w:t>
      </w:r>
      <w:hyperlink r:id="rId20">
        <w:r>
          <w:rPr>
            <w:rFonts w:ascii="Songti SC" w:hAnsi="Songti SC" w:eastAsia="Songti SC" w:cs="Songti SC"/>
            <w:color w:val="163652"/>
            <w:sz w:val="19"/>
          </w:rPr>
          <w:t>相关原文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；SEP为官员预测，GDP与通胀为四季度同比口径。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[S7] </w:t>
      </w:r>
      <w:hyperlink r:id="rId21">
        <w:r>
          <w:rPr>
            <w:rFonts w:ascii="Songti SC" w:hAnsi="Songti SC" w:eastAsia="Songti SC" w:cs="Songti SC"/>
            <w:color w:val="163652"/>
            <w:sz w:val="19"/>
          </w:rPr>
          <w:t>美国9月消费者价格指数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。美国劳工统计局 BLS；2026-10-14 08:30 ET 北京时间20:30。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[S8] </w:t>
      </w:r>
      <w:hyperlink r:id="rId22">
        <w:r>
          <w:rPr>
            <w:rFonts w:ascii="Songti SC" w:hAnsi="Songti SC" w:eastAsia="Songti SC" w:cs="Songti SC"/>
            <w:color w:val="163652"/>
            <w:sz w:val="19"/>
          </w:rPr>
          <w:t>美国9月就业情况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。美国劳工统计局 BLS；2026-10-02 08:30 ET 北京时间20:30。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[S9] </w:t>
      </w:r>
      <w:hyperlink r:id="rId23">
        <w:r>
          <w:rPr>
            <w:rFonts w:ascii="Songti SC" w:hAnsi="Songti SC" w:eastAsia="Songti SC" w:cs="Songti SC"/>
            <w:color w:val="163652"/>
            <w:sz w:val="19"/>
          </w:rPr>
          <w:t>9月货币政策决定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。欧洲中央银行；2026-09-10；利率于9月16日生效。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[S10] </w:t>
      </w:r>
      <w:hyperlink r:id="rId24">
        <w:r>
          <w:rPr>
            <w:rFonts w:ascii="Songti SC" w:hAnsi="Songti SC" w:eastAsia="Songti SC" w:cs="Songti SC"/>
            <w:color w:val="163652"/>
            <w:sz w:val="19"/>
          </w:rPr>
          <w:t>欧元区9月通胀初值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。欧盟统计局 Eurostat；2026-10-02；采用初值，未纳入10月16日欧洲时段的后续终值。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[S11] </w:t>
      </w:r>
      <w:hyperlink r:id="rId25">
        <w:r>
          <w:rPr>
            <w:rFonts w:ascii="Songti SC" w:hAnsi="Songti SC" w:eastAsia="Songti SC" w:cs="Songti SC"/>
            <w:color w:val="163652"/>
            <w:sz w:val="19"/>
          </w:rPr>
          <w:t>10月世界经济展望官方发布摘要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。国际货币基金组织 IMF；2026-10-13；全球增长与通胀预测采用官方发布摘要；完整国别预测表不在本报告引用范围。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[S12] </w:t>
      </w:r>
      <w:hyperlink r:id="rId26">
        <w:r>
          <w:rPr>
            <w:rFonts w:ascii="Songti SC" w:hAnsi="Songti SC" w:eastAsia="Songti SC" w:cs="Songti SC"/>
            <w:color w:val="163652"/>
            <w:sz w:val="19"/>
          </w:rPr>
          <w:t>2026年国家统计局主要统计信息发布日程表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。国家统计局；2025-12-25 09:30公布。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[S13] </w:t>
      </w:r>
      <w:hyperlink r:id="rId27">
        <w:r>
          <w:rPr>
            <w:rFonts w:ascii="Songti SC" w:hAnsi="Songti SC" w:eastAsia="Songti SC" w:cs="Songti SC"/>
            <w:color w:val="163652"/>
            <w:sz w:val="19"/>
          </w:rPr>
          <w:t>2026年10月数据发布日程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。美国劳工统计局 BLS；所列当地时间换算为北京时间；进出口价格发布晚于报告截点。</w:t>
      </w:r>
    </w:p>
    <w:p>
      <w:pPr>
        <w:widowControl/>
        <w:spacing w:before="0" w:after="40" w:line="269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 xml:space="preserve">[S14] </w:t>
      </w:r>
      <w:hyperlink r:id="rId28">
        <w:r>
          <w:rPr>
            <w:rFonts w:ascii="Songti SC" w:hAnsi="Songti SC" w:eastAsia="Songti SC" w:cs="Songti SC"/>
            <w:color w:val="163652"/>
            <w:sz w:val="19"/>
          </w:rPr>
          <w:t>FOMC会议及纪要日历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 xml:space="preserve">。美国联邦储备委员会；10月27至28日为美国当地会议日期；具体时刻另据官方10月月历 </w:t>
      </w:r>
      <w:hyperlink r:id="rId29">
        <w:r>
          <w:rPr>
            <w:rFonts w:ascii="Songti SC" w:hAnsi="Songti SC" w:eastAsia="Songti SC" w:cs="Songti SC"/>
            <w:color w:val="163652"/>
            <w:sz w:val="19"/>
          </w:rPr>
          <w:t>相关原文</w:t>
        </w:r>
      </w:hyperlink>
      <w:r>
        <w:rPr>
          <w:rFonts w:ascii="Songti SC" w:hAnsi="Songti SC" w:eastAsia="Songti SC" w:cs="Songti SC"/>
          <w:b w:val="0"/>
          <w:color w:val="444444"/>
          <w:sz w:val="19"/>
          <w:lang w:eastAsia="zh-CN"/>
        </w:rPr>
        <w:t>。</w:t>
      </w:r>
    </w:p>
    <w:p>
      <w:pPr>
        <w:widowControl/>
        <w:spacing w:before="0" w:after="100" w:line="293" w:lineRule="auto"/>
      </w:pPr>
      <w:r>
        <w:rPr>
          <w:rFonts w:ascii="Songti SC" w:hAnsi="Songti SC" w:eastAsia="Songti SC" w:cs="Songti SC"/>
          <w:b w:val="0"/>
          <w:color w:val="111111"/>
          <w:sz w:val="19"/>
          <w:lang w:eastAsia="zh-CN"/>
        </w:rPr>
        <w:t>数据来源于万得 Wind 金融数据服务；结构与发布时间另据上述官方来源核验。</w:t>
      </w:r>
    </w:p>
    <w:sectPr w:rsidR="00FC693F" w:rsidRPr="0006063C" w:rsidSect="00034616">
      <w:footerReference w:type="default" r:id="rId30"/>
      <w:pgSz w:w="11906" w:h="16838"/>
      <w:pgMar w:top="1134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93" w:lineRule="auto"/>
      <w:jc w:val="right"/>
    </w:pPr>
    <w:r>
      <w:rPr>
        <w:rFonts w:ascii="Songti SC" w:hAnsi="Songti SC" w:eastAsia="Songti SC" w:cs="Songti SC"/>
        <w:b w:val="0"/>
        <w:color w:val="555555"/>
        <w:sz w:val="17"/>
        <w:lang w:eastAsia="zh-CN"/>
      </w:rPr>
      <w:t xml:space="preserve">macro-lab  | 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 w:cs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ngti SC" w:hAnsi="Songti SC" w:eastAsia="Songti SC" w:cs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ongti SC" w:hAnsi="Songti SC" w:eastAsia="Songti SC" w:cs="Songti SC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 w:cs="Songti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 w:cs="Songti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.wind.com.cn/mobwftweb/M/news.html?share=wechat&amp;show=wft&amp;code=1F15145286B5&amp;newsopenstyle=&amp;lan=cn&amp;device=pc&amp;gateway=news&amp;related=true&amp;terminaltype=COM.WINDRAG&amp;version=&amp;useless=0.801146#/F39C4AC23078EBD96CC3B5B3B7762813" TargetMode="External"/><Relationship Id="rId10" Type="http://schemas.openxmlformats.org/officeDocument/2006/relationships/hyperlink" Target="https://www.sohu.com/a/1087513028_130887?scm=10001.325_13-325_13.0.0-0-0-0-0.5_1334" TargetMode="External"/><Relationship Id="rId11" Type="http://schemas.openxmlformats.org/officeDocument/2006/relationships/hyperlink" Target="https://t.wind.com.cn/mobwftweb/M/news.html?share=wechat&amp;show=wft&amp;code=B777E1BA204C&amp;newsopenstyle=&amp;lan=cn&amp;device=pc&amp;gateway=news&amp;related=true&amp;terminaltype=COM.WINDRAG&amp;version=&amp;useless=0.346723#/0932284A6AD863483DD9A1C6F6CE317A" TargetMode="External"/><Relationship Id="rId12" Type="http://schemas.openxmlformats.org/officeDocument/2006/relationships/hyperlink" Target="https://www.stats.gov.cn/sj/zxfbhjd/202609/t20260930_1965449.html" TargetMode="External"/><Relationship Id="rId13" Type="http://schemas.openxmlformats.org/officeDocument/2006/relationships/hyperlink" Target="https://www.stats.gov.cn/sj/zxfbhjd/202610/t20261014_1965475.html" TargetMode="External"/><Relationship Id="rId14" Type="http://schemas.openxmlformats.org/officeDocument/2006/relationships/hyperlink" Target="https://www.stats.gov.cn/sj/zxfbhjd/202610/t20261014_1965477.html" TargetMode="External"/><Relationship Id="rId15" Type="http://schemas.openxmlformats.org/officeDocument/2006/relationships/hyperlink" Target="https://www.stats.gov.cn/sj/zxfbhjd/202610/t20261014_1965476.html" TargetMode="External"/><Relationship Id="rId16" Type="http://schemas.openxmlformats.org/officeDocument/2006/relationships/hyperlink" Target="https://www.pbc.gov.cn/diaochatongjisi/116219/116225/2026101417073743604/index.html" TargetMode="External"/><Relationship Id="rId17" Type="http://schemas.openxmlformats.org/officeDocument/2006/relationships/hyperlink" Target="https://gxt.hunan.gov.cn/gxt/xxgk_71033/gzdt/rdjj/202610/t20261015_34081504.html" TargetMode="External"/><Relationship Id="rId18" Type="http://schemas.openxmlformats.org/officeDocument/2006/relationships/hyperlink" Target="https://www.federalreserve.gov/newsevents/pressreleases/monetary20260916a.htm" TargetMode="External"/><Relationship Id="rId19" Type="http://schemas.openxmlformats.org/officeDocument/2006/relationships/hyperlink" Target="https://www.federalreserve.gov/monetarypolicy/fomcprojtabl20260916.htm" TargetMode="External"/><Relationship Id="rId20" Type="http://schemas.openxmlformats.org/officeDocument/2006/relationships/hyperlink" Target="https://www.federalreserve.gov/monetarypolicy/fomcminutes20260916.htm" TargetMode="External"/><Relationship Id="rId21" Type="http://schemas.openxmlformats.org/officeDocument/2006/relationships/hyperlink" Target="https://www.bls.gov/news.release/archives/cpi_10142026.htm" TargetMode="External"/><Relationship Id="rId22" Type="http://schemas.openxmlformats.org/officeDocument/2006/relationships/hyperlink" Target="https://www.bls.gov/news.release/archives/empsit_10022026.htm" TargetMode="External"/><Relationship Id="rId23" Type="http://schemas.openxmlformats.org/officeDocument/2006/relationships/hyperlink" Target="https://www.ecb.europa.eu/press/pr/date/2026/html/ecb.mp260910~314e508016.en.html" TargetMode="External"/><Relationship Id="rId24" Type="http://schemas.openxmlformats.org/officeDocument/2006/relationships/hyperlink" Target="https://ec.europa.eu/eurostat/en/web/products-euro-indicators/w/2-02102026-ap" TargetMode="External"/><Relationship Id="rId25" Type="http://schemas.openxmlformats.org/officeDocument/2006/relationships/hyperlink" Target="https://mediacenter.imf.org/news/imf---world-economic-outlook-annual-meetings--2026/s/22f94667-d194-473b-87b2-34c692b5a5a3" TargetMode="External"/><Relationship Id="rId26" Type="http://schemas.openxmlformats.org/officeDocument/2006/relationships/hyperlink" Target="https://www.stats.gov.cn/xw/tjxw/tzgg/202512/t20251224_1962137.html" TargetMode="External"/><Relationship Id="rId27" Type="http://schemas.openxmlformats.org/officeDocument/2006/relationships/hyperlink" Target="https://www.bls.gov/schedule/2026/10_sched.htm" TargetMode="External"/><Relationship Id="rId28" Type="http://schemas.openxmlformats.org/officeDocument/2006/relationships/hyperlink" Target="https://www.federalreserve.gov/monetarypolicy/fomccalendars.htm" TargetMode="External"/><Relationship Id="rId29" Type="http://schemas.openxmlformats.org/officeDocument/2006/relationships/hyperlink" Target="https://www.federalreserve.gov/newsevents/2026-october.htm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2026年10月中国市场与外部宏观环境分析报告</dc:title>
  <dc:subject>中国市场与外部宏观环境</dc:subject>
  <dc:creator>macro-lab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