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Through Model Context Protocol, clients can inspect durable run records, frozen execution routes and uncertain submission outcomes. Six fixed paired Windows operations illustrate the ComfyUI submission guard. After acceptance-response loss, the guard retains one accepted job while leaving the original client run incomplete. A pre-send failure also causes a false block. A synthetic stop-after-unknown control matches these outcomes. Source-based checks distinguish backend acceptance, execution lifecycles and client completion. The software brings these interfaces and records into one inspectable system. Raw captures from the study remain private.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use backend adapters to select workflows, submit parameters, inspect progress and retrieve images. A product call passes through several events: an adapter send, backend acceptance, execution and client completion. A failed response can leave a backend job running. Records that distinguish these events help users investigate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how communication failures can cause retries to repeat an operation's effects [1,2]. In local image generation, losing an acceptance response can lead to a second accepted job. Stopping after an uncertain outcome can also block completion when nothing was sent. The controller must record the available information and decide which subsequent actions to permit.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combines a thin MCP transport with backend discovery, trust checks, a durable run engine and backend adapters. Li evaluates a closely related guard in simulated services: it remembers writes with unknown outcomes and refuses unverifiable repeats [3]. We implement this kind of guard in a local image-generation system and examine its submission and completion behavior, including a pre-send false block. The contribution is an integration and a limited characterization of its behavior; the recovery policy is not new, and its comparative efficacy remains unestablished. Li also identifies a verification-only limit when no in-flight bound is known. That result does not establish that the unresolved runs in our study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capabilities needed at the tool boundary to resolve ambiguous effects [4]. Verification-aware wrappers query task-specific postconditions before retrying and use server-side idempotency where available [5]. ToolPro records completed WRITE outcomes and replays them during program repair under an effect-typed replay discipline [6]. Each mechanism depends on information that a local unresolved record alone does not supply, such as an authoritative postcondition or a recorded completed-write outcome. Local GPU Imagegen makes this information gap visible in its ComfyUI integration. Its scope excludes ToolPro's program runtime and preserves the need for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software is intended for workflows that need explicit local backend selection and records of completion failures. Users can inspect retained state to investigate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transport implements the Model Context Protocol interface [7] and handles JSON-RPC, schemas, validation, dispatch, timeouts and structured results. Before execution, the system discovers backends, checks trust and selects a route according to backend capabilities. The run engine orchestrates execution, while RunStore persists its state. The generation module and its adapters load backends and generate images. The repository includes ComfyUI [8] and WebUI adapters, along with a Diffusers compatibility path. The retained paired experiment evaluates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records the selected route, submission state and outputs. Immutable child runs preserve earlier revisions. Subsequent attempts check the frozen route, reject changes to it and return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Users supply the GPU backend and model weights, then review the workflow and model selection. Neither is bundled with the distribution. The MCP process does not call an application-specific cloud image API. A confirmed LAN endpoint receives prompts and source images on its server; a loopback endpoint keeps this traffic local. Trust records remain outside Git, and downloading models requires an explicit download option. Input and generated images are ordinary local files. Users are responsible for their directory permissions.</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In the evaluated same-run path, the guard reads retained state and returns an unresolved result when the submission outcome is unknown. It then withholds another automatic submission. The accepted backend job, its output and client completion remain unresolved by this action alone. Deduplication across arbitrary processes or newly created runs is outside the guard's scope.</w:t>
      </w:r>
    </w:p>
    <w:p w14:paraId="074AE2C1" w14:textId="4D3974FB" w:rsidR="005C4F03" w:rsidRPr="005C4F03" w:rsidRDefault="005C4F03" w:rsidP="005C4F03">
      <w:pPr>
        <w:spacing w:after="0" w:line="240" w:lineRule="auto"/>
      </w:pPr>
      <w:r>
        <w:rPr>
          <w:rFonts w:ascii="Arial" w:hAnsi="Arial" w:cs="Arial"/>
          <w:szCs w:val="22"/>
          <w:b w:val="0"/>
        </w:rPr>
        <w:t xml:space="preserve">The guard responds to recorded uncertainty, including uncertainty recorded before a request reaches the backend. The cases in Section 3 show the resulting completion cost.</w:t>
      </w:r>
    </w:p>
    <w:p w14:paraId="074AE2C1" w14:textId="4D3974FB" w:rsidR="005C4F03" w:rsidRPr="005C4F03" w:rsidRDefault="005C4F03" w:rsidP="005C4F03">
      <w:pPr>
        <w:spacing w:after="0" w:line="240" w:lineRule="auto"/>
      </w:pPr>
      <w:r>
        <w:rPr>
          <w:rFonts w:ascii="Arial" w:hAnsi="Arial" w:cs="Arial"/>
          <w:szCs w:val="22"/>
          <w:b w:val="0"/>
        </w:rPr>
        <w:t xml:space="preserve">When a backend job identifier is known, the ComfyUI adapter can poll /history/&lt;job_id&gt;, including during explicit recovery. In the unknown-submission path, the response has supplied no retained identifier. The product neither discovers that identifier automatically from backend history nor determines whether an unbound request is in flight. local_gpu_get_run reads local retained state and leaves backend acceptance unresolved. These implementation limits account for the uncertainty in F02; they establish no general impossibility result for ComfyUI.</w:t>
      </w:r>
    </w:p>
    <w:p w14:paraId="074AE2C1" w14:textId="4D3974FB" w:rsidR="005C4F03" w:rsidRPr="005C4F03" w:rsidRDefault="005C4F03" w:rsidP="005C4F03">
      <w:pPr>
        <w:spacing w:after="0" w:line="240" w:lineRule="auto"/>
      </w:pPr>
      <w:r>
        <w:rPr>
          <w:rFonts w:ascii="Arial" w:hAnsi="Arial" w:cs="Arial"/>
          <w:szCs w:val="22"/>
          <w:b w:val="0"/>
        </w:rPr>
        <w:t xml:space="preserve">The product's idempotency key binds an attempt to its locally retained request hash. The adapter sends this key as ComfyUI's client_id. A server-side deduplication guarantee has not been independently verified for this integration, so repeated /prompt requests cannot be assumed to return the original outcome required by Li's key-enabled contracts [3]. Recovering a retained job through history uses a different mechanism from service-level idempotent resubmission.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has serve, doctor, verify, config and setup commands. The verify command checks the MCP interface. In an isolated wheel installation, it reported version 0.9.1 and seventeen tools. This result confirms interface availability; a complete image-generation workflow was not validated on that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point to an immutable source snapshot containing README.md, Licence.txt, the product and research scripts. From the checkout root, python -m pip install . installs the product and local-gpu-imagegen verify checks its interface. The README covers backend setup. PyPI also has version 0.9.1 as a historical artifact separate from the cited source snapshot. Running python paper/scripts/verify_paired_projection.py from the checkout root checks the included derived table without submitting a backend job. The checker and exporter require the source checkout and are absent from the product wheel. This check verifies the accepted-job and completion distinctions in Section 3 without rerunning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To inspect an existing run, a client calls local_gpu_get_run with {"run_id":"&lt;existing-run-id&gt;"}. The response includes retained state, request.route and attempts. It also includes recoverable_next_actions, which retrieval computes and which need not be stored in the disk manifest. In the unknown-submission branch, the attempt has status: unresolved and submission_outcome: unknown, and the run has state: unresolved. A retry encounters submission_outcome_unknown before another send.</w:t>
      </w:r>
    </w:p>
    <w:p w14:paraId="074AE2C1" w14:textId="4D3974FB" w:rsidR="005C4F03" w:rsidRPr="005C4F03" w:rsidRDefault="005C4F03" w:rsidP="005C4F03">
      <w:pPr>
        <w:spacing w:after="0" w:line="240" w:lineRule="auto"/>
      </w:pPr>
      <w:r>
        <w:rPr>
          <w:rFonts w:ascii="Arial" w:hAnsi="Arial" w:cs="Arial"/>
          <w:szCs w:val="22"/>
          <w:b w:val="0"/>
        </w:rPr>
        <w:t xml:space="preserve">Other unresolved attempts can retain a backend job without an unknown-outcome field. RunStore permits recovery only when the idempotency key and request hash match. For the two-stage ComfyUI route, the engine forwards recovery_job_id so the adapter can poll the retained job without posting again. This recovery path differs from the evaluated unknown-submission branch. The frozen request.route records the backend, endpoint/model identity and workflow/compiler versions for subsequent checks. Retrieval can update local bookkeeping for stale attempts, but does not certify backend completion.</w:t>
      </w:r>
    </w:p>
    <w:p w14:paraId="074AE2C1" w14:textId="4D3974FB" w:rsidR="005C4F03" w:rsidRPr="005C4F03" w:rsidRDefault="005C4F03" w:rsidP="005C4F03">
      <w:pPr>
        <w:spacing w:after="0" w:line="240" w:lineRule="auto"/>
      </w:pPr>
      <w:r>
        <w:rPr>
          <w:rFonts w:ascii="Arial" w:hAnsi="Arial" w:cs="Arial"/>
          <w:szCs w:val="22"/>
          <w:b w:val="0"/>
        </w:rPr>
        <w:t xml:space="preserve">From the source checkout, scripts/research/export_records.py exports research records. Twelve synthetic offline probes produced equal classifications for the exporter and a field parser written by the same author. These probes used fixtures separate from the Windows capture bytes and involved no Windows or GPU execution. The Python 3.13.15 receipt is paper/evidence/v022-probe-command-receipt.json in the cited snapshot. Parser superiority and reduced audit effort remain unestablished by this comparison.</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In the retained F02 guarded case, the product submits the selected ComfyUI workflow and the backend accepts it. Injected response loss prevents the product from retaining the returned job identifier. The observer records backend completion, while the original client run remains unresolved and the guard withholds another same-run generation call. A client can inspect this local state through local_gpu_get_run (Section 2.3), but retrieval cannot recover the missing identifier. This account combines the recorded outcome with the source interface contract. No later client session or recovery was measured. In the B2 path, repeated submission completes the client operation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Although the observer records backend completion, the original W3 run remains unresolved: withholding the second submission has not reconciled the client run.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provide no measured amount of GPU computation for that lifecycle. Two accepted jobs therefore do not establish twice the computation, and withholding the second submission establishes no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In FPRE, B2 eventually sends one upstream request and completes. W3 sends none and remains unresolved. The guard blocks an operation whose first attempt never reached the backend because its retained state lacks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The match establishes equality in these fields only, leaving other run-state details outside its scope. This CPU result adds no Windows execution evidence and supports no claim of policy superiority. The six Windows operations are fixed examples without a repeated randomized campaign or a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Known-job recovery walkthrough</w:t>
      </w:r>
    </w:p>
    <w:p w14:paraId="074AE2C1" w14:textId="4D3974FB" w:rsidR="005C4F03" w:rsidRPr="005C4F03" w:rsidRDefault="005C4F03" w:rsidP="005C4F03">
      <w:pPr>
        <w:spacing w:after="0" w:line="240" w:lineRule="auto"/>
      </w:pPr>
      <w:r>
        <w:rPr>
          <w:rFonts w:ascii="Arial" w:hAnsi="Arial" w:cs="Arial"/>
          <w:szCs w:val="22"/>
          <w:b w:val="0"/>
        </w:rPr>
        <w:t xml:space="preserve">A separate CPU fixture exercises the retained-job branch of the two-stage route. The fake backend reports a job identifier through the product callback, then raises a timeout. The engine records state: unresolved and attempts[-1].backend_job.job_id. Calling local_gpu_get_run returns get_run and generate_round:recover without making a backend call. Re-entering generate_round with the same key and request hash forwards recovery_job_id to the fake runner. The engine records one round, its existing synthetic image and state: generated. It rejects a changed key before the call reaches the runner. A defined stop-only control takes no further action on the same retained manifest and remains unresolved. This fixture demonstrates the recovery operation; statistical policy superiority remains unestablished.</w:t>
      </w:r>
    </w:p>
    <w:p w14:paraId="074AE2C1" w14:textId="4D3974FB" w:rsidR="005C4F03" w:rsidRPr="005C4F03" w:rsidRDefault="005C4F03" w:rsidP="005C4F03">
      <w:pPr>
        <w:spacing w:after="0" w:line="240" w:lineRule="auto"/>
      </w:pPr>
      <w:r>
        <w:rPr>
          <w:rFonts w:ascii="Arial" w:hAnsi="Arial" w:cs="Arial"/>
          <w:szCs w:val="22"/>
          <w:b w:val="0"/>
        </w:rPr>
        <w:t xml:space="preserve">In a separate adapter check against a loopback fake HTTP server, a known recovery_job_id produces /history/prompt-1 and /view requests with zero /prompt POSTs. The engine and adapter are checked independently, so the results cover two components without an integrated backend execution. The executable walkthrough and receipt accompany the manuscript as known_job_recovery_demo.py and known-job-recovery-receipt.json. Both checks use source-snapshot test fixtures, synthetic outputs and known identifiers. They involve no GPU execution, missing-identifier reconciliation or Windows F03 case. The final state is generated, not completed. Image acceptance/finalization remains a later operation.</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1358537"/>
            <wp:docPr id="2" name="Picture 2"/>
            <wp:cNvGraphicFramePr>
              <a:graphicFrameLocks noChangeAspect="1"/>
            </wp:cNvGraphicFramePr>
            <a:graphic>
              <a:graphicData uri="http://schemas.openxmlformats.org/drawingml/2006/picture">
                <pic:pic>
                  <pic:nvPicPr>
                    <pic:cNvPr id="0" name="known-job-recovery.png"/>
                    <pic:cNvPicPr/>
                  </pic:nvPicPr>
                  <pic:blipFill>
                    <a:blip r:embed="rId27"/>
                    <a:stretch>
                      <a:fillRect/>
                    </a:stretch>
                  </pic:blipFill>
                  <pic:spPr>
                    <a:xfrm>
                      <a:off x="0" y="0"/>
                      <a:ext cx="5943600" cy="135853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2. CPU engine fixture with a retained job identifier. Retrieval exposes the recovery action; same-key/hash re-entry forwards the identifier and records a generated round. The stop-only branch takes no further action. The separate HTTP-adapter check queries history/view with zero prompt POSTs.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 isolated rebuilt wheel also reported seventeen tools through local-gpu-imagegen verify. These checks used no models and ran in separate environments. Their scope excludes validation of the author's machine or GPU generation. An older Python 3.13.15 receipt records a distinct thirteen-test offline subset. Exact revisions, commands and scopes are recorded at https://github.com/ChevalGrand520/local-gpu-imagegen/blob/abb363992469c23eae354f2374af32ffc8c6b1ad/paper-softwarex/VALIDATION_20261004.md . The validation materials have their own revision,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macOS Python 3.12 full-suite attempt reported thirty failures, five errors and forty skips across 1,274 tests. The recorded failures include platform-specific filesystem and isolated-installation paths; they were not all assigned a single cause. Windows is the product platform, and successful Mac interface checks do not establish full macOS support.</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A researcher can inspect an incomplete generation operation through its retained manifest and the retrieval tool. The records identify the confirmed route and distinguish unresolved submissions from generated or finalized images. The six derived rows can also be checked without loading a model.</w:t>
      </w:r>
    </w:p>
    <w:p w14:paraId="074AE2C1" w14:textId="4D3974FB" w:rsidR="005C4F03" w:rsidRPr="005C4F03" w:rsidRDefault="005C4F03" w:rsidP="005C4F03">
      <w:pPr>
        <w:spacing w:after="0" w:line="240" w:lineRule="auto"/>
      </w:pPr>
      <w:r>
        <w:rPr>
          <w:rFonts w:ascii="Arial" w:hAnsi="Arial" w:cs="Arial"/>
          <w:szCs w:val="22"/>
          <w:b w:val="0"/>
        </w:rPr>
        <w:t xml:space="preserve">The source-based checks report accepted-job counts, execution lifecycles and client completion separately. Researchers can use them to examine whether withholding another submission preserves completion and whether a repeated accepted job incurs additional computation. In the fixed examples, the guarded F02 and FPRE runs remain incomplete. Caching leaves the amount of additional computation unmeasured. The software provides these inspection functions around an existing backend.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private raw paired capture contains configuration, source snapshots, logs and images beyond the derived public record. The author-side consistency audit does not independently authenticate execution. A private sanitized prototype preserves the derived rows and selected semantic relations, but remains unreleased and incomplete as a replacement for the raw data. The distributed software and derived checks therefore support only limited reproduction.</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with local backend adapters and durable run records. The fixed ComfyUI examples document the completion cost of withholding uncertain submissions. After acceptance-response loss, the guarded path retains fewer accepted jobs; before sending, the same guard can falsely block completion. The simple-stop and parser controls produce equal outcomes in the compared fields, limiting the contribution to software integration and a bounded characterization of its behavior. Users can inspect the distributed source and derived records, subject to the limits on reproducing backend execution and validating additional platforms.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p w14:paraId="074AE2C1" w14:textId="4D3974FB" w:rsidR="005C4F03" w:rsidRPr="005C4F03" w:rsidRDefault="005C4F03" w:rsidP="005C4F03">
      <w:pPr>
        <w:spacing w:after="0" w:line="240" w:lineRule="auto"/>
      </w:pPr>
      <w:r>
        <w:rPr>
          <w:rFonts w:ascii="Arial" w:hAnsi="Arial" w:cs="Arial"/>
          <w:szCs w:val="22"/>
          <w:b w:val="0"/>
        </w:rPr>
        <w:t xml:space="preserve">[7] Model Context Protocol. Specification, protocol revision 2025-06-18. https://modelcontextprotocol.io/specification/2025-06-18 (accessed 2026-10-04).</w:t>
      </w:r>
    </w:p>
    <w:p w14:paraId="074AE2C1" w14:textId="4D3974FB" w:rsidR="005C4F03" w:rsidRPr="005C4F03" w:rsidRDefault="005C4F03" w:rsidP="005C4F03">
      <w:pPr>
        <w:spacing w:after="0" w:line="240" w:lineRule="auto"/>
      </w:pPr>
      <w:r>
        <w:rPr>
          <w:rFonts w:ascii="Arial" w:hAnsi="Arial" w:cs="Arial"/>
          <w:szCs w:val="22"/>
          <w:b w:val="0"/>
        </w:rPr>
        <w:t xml:space="preserve">[8] Comfy-Org. ComfyUI. Source repository. https://github.com/Comfy-Org/ComfyUI (accessed 2026-10-04).</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