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1D86622" w14:textId="60C12F37" w:rsidR="0003483D" w:rsidRPr="00883C55" w:rsidRDefault="00657B03" w:rsidP="001E3522">
      <w:pPr>
        <w:pStyle w:val="Heading1"/>
        <w:spacing w:before="0" w:line="240" w:lineRule="auto"/>
      </w:pPr>
      <w:r>
        <w:rPr>
          <w:rFonts w:ascii="Arial" w:eastAsia="Calibri" w:hAnsi="Arial" w:cs="Arial"/>
          <w:sz w:val="22"/>
          <w:szCs w:val="22"/>
          <w:b w:val="1"/>
        </w:rPr>
        <w:t xml:space="preserve">Local GPU Imagegen: Durable run records for local image generation</w:t>
      </w:r>
    </w:p>
    <w:p w14:paraId="074AE2C1" w14:textId="4D3974FB" w:rsidR="005C4F03" w:rsidRPr="005C4F03" w:rsidRDefault="005C4F03" w:rsidP="005C4F03">
      <w:pPr>
        <w:spacing w:after="0" w:line="240" w:lineRule="auto"/>
      </w:pPr>
      <w:r>
        <w:rPr>
          <w:rFonts w:ascii="Arial" w:hAnsi="Arial" w:cs="Arial"/>
          <w:szCs w:val="22"/>
          <w:b w:val="0"/>
        </w:rPr>
        <w:t xml:space="preserve">Zhen Cheng</w:t>
      </w:r>
    </w:p>
    <w:p w14:paraId="074AE2C1" w14:textId="4D3974FB" w:rsidR="005C4F03" w:rsidRPr="005C4F03" w:rsidRDefault="005C4F03" w:rsidP="005C4F03">
      <w:pPr>
        <w:spacing w:after="0" w:line="240" w:lineRule="auto"/>
      </w:pPr>
      <w:r>
        <w:rPr>
          <w:rFonts w:ascii="Arial" w:hAnsi="Arial" w:cs="Arial"/>
          <w:szCs w:val="22"/>
          <w:b w:val="0"/>
        </w:rPr>
        <w:t xml:space="preserve">School of Computer Science and Technology (School of Artificial Intelligence), Zhejiang Sci-Tech University, Hangzhou, China</w:t>
      </w:r>
    </w:p>
    <w:p w14:paraId="074AE2C1" w14:textId="4D3974FB" w:rsidR="005C4F03" w:rsidRPr="005C4F03" w:rsidRDefault="005C4F03" w:rsidP="005C4F03">
      <w:pPr>
        <w:spacing w:after="0" w:line="240" w:lineRule="auto"/>
      </w:pPr>
      <w:r>
        <w:rPr>
          <w:rFonts w:ascii="Arial" w:hAnsi="Arial" w:cs="Arial"/>
          <w:szCs w:val="22"/>
          <w:b w:val="0"/>
        </w:rPr>
        <w:t xml:space="preserve">Correspondence: ChengZhen0105@outlook.com</w:t>
      </w:r>
    </w:p>
    <w:p w14:paraId="0AB0CA3F" w14:textId="77777777" w:rsidR="00F55829" w:rsidRDefault="00657B03" w:rsidP="001E3522">
      <w:pPr>
        <w:pStyle w:val="Heading1"/>
        <w:tabs>
          <w:tab w:val="left" w:pos="5244"/>
        </w:tabs>
        <w:spacing w:before="0" w:line="240" w:lineRule="auto"/>
      </w:pPr>
      <w:r>
        <w:rPr>
          <w:rFonts w:ascii="Arial" w:hAnsi="Arial" w:cs="Arial"/>
          <w:sz w:val="22"/>
          <w:szCs w:val="22"/>
          <w:b w:val="1"/>
        </w:rPr>
        <w:t xml:space="preserve">Abstract</w:t>
      </w:r>
    </w:p>
    <w:p w14:paraId="074AE2C1" w14:textId="4D3974FB" w:rsidR="005C4F03" w:rsidRPr="005C4F03" w:rsidRDefault="005C4F03" w:rsidP="005C4F03">
      <w:pPr>
        <w:spacing w:after="0" w:line="240" w:lineRule="auto"/>
      </w:pPr>
      <w:r>
        <w:rPr>
          <w:rFonts w:ascii="Arial" w:hAnsi="Arial" w:cs="Arial"/>
          <w:szCs w:val="22"/>
          <w:b w:val="0"/>
        </w:rPr>
        <w:t xml:space="preserve">Local GPU Imagegen is an open-source Python control plane for local image-generation workflows. It exposes a Model Context Protocol interface and command-line tools, retaining durable run records and explicit submission uncertainty. Six fixed paired Windows operations illustrate its ComfyUI submission guard. After accepted response loss, the guard withholds another submission but leaves the original client run incomplete. A pre-send failure also produces a false block. A simple stop-after-unknown control matches these outcomes. The examples characterize a software contract and its completion cost, without establishing general reliability or GPU savings. Source code and derived checks support inspection; raw captures remain private.</w:t>
      </w:r>
    </w:p>
    <w:p w14:paraId="108BE7F8" w14:textId="77777777" w:rsidR="001E3522" w:rsidRDefault="00657B03" w:rsidP="001E3522">
      <w:pPr>
        <w:pStyle w:val="Heading1"/>
        <w:spacing w:before="0" w:line="240" w:lineRule="auto"/>
      </w:pPr>
      <w:r>
        <w:rPr>
          <w:rFonts w:ascii="Arial" w:eastAsia="Calibri" w:hAnsi="Arial" w:cs="Arial"/>
          <w:sz w:val="22"/>
          <w:szCs w:val="22"/>
          <w:b w:val="1"/>
        </w:rPr>
        <w:t xml:space="preserve">Keywords</w:t>
      </w:r>
    </w:p>
    <w:p w14:paraId="074AE2C1" w14:textId="4D3974FB" w:rsidR="005C4F03" w:rsidRPr="005C4F03" w:rsidRDefault="005C4F03" w:rsidP="005C4F03">
      <w:pPr>
        <w:spacing w:after="0" w:line="240" w:lineRule="auto"/>
      </w:pPr>
      <w:r>
        <w:rPr>
          <w:rFonts w:ascii="Arial" w:hAnsi="Arial" w:cs="Arial"/>
          <w:szCs w:val="22"/>
          <w:b w:val="0"/>
        </w:rPr>
        <w:t xml:space="preserve">research software; Model Context Protocol; ComfyUI; durable run records; submission uncertainty; local image generation</w:t>
      </w:r>
    </w:p>
    <w:p w14:paraId="42B80A20" w14:textId="350036B7" w:rsidR="00DD67E2" w:rsidRPr="00C14245" w:rsidRDefault="007A0305" w:rsidP="001E3522">
      <w:pPr>
        <w:pStyle w:val="Heading1"/>
        <w:spacing w:before="0" w:line="240" w:lineRule="auto"/>
      </w:pPr>
      <w:r>
        <w:rPr>
          <w:rFonts w:ascii="Arial" w:eastAsia="Calibri" w:hAnsi="Arial" w:cs="Arial"/>
          <w:sz w:val="22"/>
          <w:szCs w:val="22"/>
          <w:b w:val="1"/>
        </w:rPr>
        <w:t xml:space="preserve">Metadata</w:t>
      </w:r>
    </w:p>
    <w:tbl>
      <w:tblPr>
        <w:tblW w:w="947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Grid>
        <w:gridCol w:w="567"/>
        <w:gridCol w:w="3554"/>
        <w:gridCol w:w="5357"/>
      </w:tblGrid>
      <w:tr w:rsidR="00DD67E2" w:rsidRPr="00C14245" w14:paraId="74ED8066" w14:textId="77777777" w:rsidTr="008F38E0">
        <w:trPr>
          <w:cantSplit/>
          <w:tblHeader/>
        </w:trPr>
        <w:tc>
          <w:tcPr>
            <w:tcW w:w="567" w:type="dxa"/>
          </w:tcPr>
          <w:p w14:paraId="2B1FB160" w14:textId="77777777" w:rsidR="00DD67E2" w:rsidRPr="00C14245" w:rsidRDefault="00DD67E2" w:rsidP="001E3522">
            <w:pPr>
              <w:rPr>
                <w:rFonts w:ascii="Arial" w:hAnsi="Arial" w:cs="Arial"/>
                <w:szCs w:val="22"/>
              </w:rPr>
            </w:pPr>
            <w:r w:rsidRPr="00C14245">
              <w:rPr>
                <w:rFonts w:ascii="Arial" w:hAnsi="Arial" w:cs="Arial"/>
                <w:b/>
                <w:szCs w:val="22"/>
              </w:rPr>
              <w:t>Nr</w:t>
            </w:r>
          </w:p>
        </w:tc>
        <w:tc>
          <w:tcPr>
            <w:tcW w:w="3554" w:type="dxa"/>
          </w:tcPr>
          <w:p w14:paraId="79E48C8F" w14:textId="77777777" w:rsidR="00DD67E2" w:rsidRPr="00C14245" w:rsidRDefault="00DD67E2" w:rsidP="001E3522">
            <w:pPr>
              <w:rPr>
                <w:rFonts w:ascii="Arial" w:hAnsi="Arial" w:cs="Arial"/>
                <w:szCs w:val="22"/>
              </w:rPr>
            </w:pPr>
            <w:r w:rsidRPr="00C14245">
              <w:rPr>
                <w:rFonts w:ascii="Arial" w:hAnsi="Arial" w:cs="Arial"/>
                <w:b/>
                <w:szCs w:val="22"/>
              </w:rPr>
              <w:t xml:space="preserve">Code metadata description </w:t>
            </w:r>
          </w:p>
        </w:tc>
        <w:tc>
          <w:tcPr>
            <w:tcW w:w="5357" w:type="dxa"/>
          </w:tcPr>
          <w:p w14:paraId="4FF13E3D" w14:textId="1A8E6373" w:rsidR="00DD67E2" w:rsidRPr="00C14245" w:rsidRDefault="00A31866" w:rsidP="001E3522">
            <w:pPr>
              <w:rPr>
                <w:rFonts w:ascii="Arial" w:hAnsi="Arial" w:cs="Arial"/>
                <w:szCs w:val="22"/>
              </w:rPr>
            </w:pPr>
            <w:r w:rsidRPr="00C14245">
              <w:rPr>
                <w:rFonts w:ascii="Arial" w:hAnsi="Arial" w:cs="Arial"/>
                <w:b/>
                <w:i/>
                <w:szCs w:val="22"/>
              </w:rPr>
              <w:t>Metadata</w:t>
            </w:r>
          </w:p>
        </w:tc>
      </w:tr>
      <w:tr w:rsidR="00DD67E2" w:rsidRPr="00C14245" w14:paraId="44BD84C4" w14:textId="77777777" w:rsidTr="008F38E0">
        <w:trPr>
          <w:cantSplit/>
        </w:trPr>
        <w:tc>
          <w:tcPr>
            <w:tcW w:w="567" w:type="dxa"/>
          </w:tcPr>
          <w:p w14:paraId="5663CBE1" w14:textId="77777777" w:rsidR="00DD67E2" w:rsidRPr="00C14245" w:rsidRDefault="00DD67E2" w:rsidP="001E3522">
            <w:pPr>
              <w:rPr>
                <w:rFonts w:ascii="Arial" w:hAnsi="Arial" w:cs="Arial"/>
                <w:szCs w:val="22"/>
              </w:rPr>
            </w:pPr>
            <w:r w:rsidRPr="00C14245">
              <w:rPr>
                <w:rFonts w:ascii="Arial" w:hAnsi="Arial" w:cs="Arial"/>
                <w:szCs w:val="22"/>
              </w:rPr>
              <w:t>C1</w:t>
            </w:r>
          </w:p>
        </w:tc>
        <w:tc>
          <w:tcPr>
            <w:tcW w:w="3554" w:type="dxa"/>
          </w:tcPr>
          <w:p w14:paraId="4D915645" w14:textId="77777777" w:rsidR="00DD67E2" w:rsidRPr="00C14245" w:rsidRDefault="00DD67E2" w:rsidP="001E3522">
            <w:pPr>
              <w:rPr>
                <w:rFonts w:ascii="Arial" w:hAnsi="Arial" w:cs="Arial"/>
                <w:szCs w:val="22"/>
              </w:rPr>
            </w:pPr>
            <w:r w:rsidRPr="00C14245">
              <w:rPr>
                <w:rFonts w:ascii="Arial" w:hAnsi="Arial" w:cs="Arial"/>
                <w:szCs w:val="22"/>
              </w:rPr>
              <w:t>Current code version</w:t>
            </w:r>
          </w:p>
        </w:tc>
        <w:tc>
          <w:tcPr>
            <w:tcW w:w="5357" w:type="dxa"/>
          </w:tcPr>
          <w:p w14:paraId="074AE2C1" w14:textId="4D3974FB" w:rsidR="005C4F03" w:rsidRPr="005C4F03" w:rsidRDefault="005C4F03" w:rsidP="005C4F03">
            <w:pPr/>
            <w:r>
              <w:rPr>
                <w:rFonts w:ascii="Arial" w:hAnsi="Arial" w:cs="Arial"/>
                <w:szCs w:val="22"/>
                <w:b w:val="0"/>
              </w:rPr>
              <w:t xml:space="preserve">0.9.1</w:t>
            </w:r>
          </w:p>
        </w:tc>
      </w:tr>
      <w:tr w:rsidR="00DD67E2" w:rsidRPr="00883C55" w14:paraId="5560CBB4" w14:textId="77777777" w:rsidTr="008F38E0">
        <w:trPr>
          <w:cantSplit/>
        </w:trPr>
        <w:tc>
          <w:tcPr>
            <w:tcW w:w="567" w:type="dxa"/>
          </w:tcPr>
          <w:p w14:paraId="359B3DE7" w14:textId="77777777" w:rsidR="00DD67E2" w:rsidRPr="00C14245" w:rsidRDefault="00DD67E2" w:rsidP="001E3522">
            <w:pPr>
              <w:rPr>
                <w:rFonts w:ascii="Arial" w:hAnsi="Arial" w:cs="Arial"/>
                <w:szCs w:val="22"/>
              </w:rPr>
            </w:pPr>
            <w:r w:rsidRPr="00C14245">
              <w:rPr>
                <w:rFonts w:ascii="Arial" w:hAnsi="Arial" w:cs="Arial"/>
                <w:szCs w:val="22"/>
              </w:rPr>
              <w:t>C2</w:t>
            </w:r>
          </w:p>
        </w:tc>
        <w:tc>
          <w:tcPr>
            <w:tcW w:w="3554" w:type="dxa"/>
          </w:tcPr>
          <w:p w14:paraId="1FA29392" w14:textId="6379BA1C" w:rsidR="00DD67E2" w:rsidRPr="00C14245" w:rsidRDefault="00DD67E2" w:rsidP="001E3522">
            <w:pPr>
              <w:rPr>
                <w:rFonts w:ascii="Arial" w:hAnsi="Arial" w:cs="Arial"/>
                <w:szCs w:val="22"/>
              </w:rPr>
            </w:pPr>
            <w:r w:rsidRPr="00C14245">
              <w:rPr>
                <w:rFonts w:ascii="Arial" w:hAnsi="Arial" w:cs="Arial"/>
                <w:szCs w:val="22"/>
              </w:rPr>
              <w:t xml:space="preserve">Permanent link to code/repository used </w:t>
            </w:r>
            <w:r w:rsidR="00276BFF" w:rsidRPr="00C14245">
              <w:rPr>
                <w:rFonts w:ascii="Arial" w:hAnsi="Arial" w:cs="Arial"/>
                <w:szCs w:val="22"/>
              </w:rPr>
              <w:t xml:space="preserve">for </w:t>
            </w:r>
            <w:r w:rsidRPr="00C14245">
              <w:rPr>
                <w:rFonts w:ascii="Arial" w:hAnsi="Arial" w:cs="Arial"/>
                <w:szCs w:val="22"/>
              </w:rPr>
              <w:t>this code version</w:t>
            </w:r>
          </w:p>
        </w:tc>
        <w:tc>
          <w:tcPr>
            <w:tcW w:w="5357" w:type="dxa"/>
          </w:tcPr>
          <w:p w14:paraId="074AE2C1" w14:textId="4D3974FB" w:rsidR="005C4F03" w:rsidRPr="005C4F03" w:rsidRDefault="005C4F03" w:rsidP="005C4F03">
            <w:pPr/>
            <w:r>
              <w:rPr>
                <w:rFonts w:ascii="Arial" w:hAnsi="Arial" w:cs="Arial"/>
                <w:szCs w:val="22"/>
                <w:b w:val="0"/>
              </w:rPr>
              <w:t xml:space="preserve">https://github.com/ChevalGrand520/local-gpu-imagegen/tree/dfc8378cb3d891f7951786bc4544cd971bd56a11</w:t>
            </w:r>
          </w:p>
        </w:tc>
      </w:tr>
      <w:tr w:rsidR="00DD67E2" w:rsidRPr="00883C55" w14:paraId="33815D41" w14:textId="77777777" w:rsidTr="008F38E0">
        <w:trPr>
          <w:cantSplit/>
        </w:trPr>
        <w:tc>
          <w:tcPr>
            <w:tcW w:w="567" w:type="dxa"/>
          </w:tcPr>
          <w:p w14:paraId="091665CD" w14:textId="62EF4D85" w:rsidR="00DD67E2" w:rsidRPr="00883C55" w:rsidRDefault="002B7866" w:rsidP="001E3522">
            <w:pPr>
              <w:rPr>
                <w:rFonts w:ascii="Arial" w:hAnsi="Arial" w:cs="Arial"/>
                <w:szCs w:val="22"/>
              </w:rPr>
            </w:pPr>
            <w:r w:rsidRPr="00883C55">
              <w:rPr>
                <w:rFonts w:ascii="Arial" w:hAnsi="Arial" w:cs="Arial"/>
                <w:szCs w:val="22"/>
              </w:rPr>
              <w:t>C</w:t>
            </w:r>
            <w:r w:rsidR="00976A1C">
              <w:rPr>
                <w:rFonts w:ascii="Arial" w:hAnsi="Arial" w:cs="Arial"/>
                <w:szCs w:val="22"/>
              </w:rPr>
              <w:t>3</w:t>
            </w:r>
          </w:p>
        </w:tc>
        <w:tc>
          <w:tcPr>
            <w:tcW w:w="3554" w:type="dxa"/>
          </w:tcPr>
          <w:p w14:paraId="3B4C1036" w14:textId="38CBB52A" w:rsidR="00DD67E2" w:rsidRPr="00883C55" w:rsidRDefault="00DD67E2" w:rsidP="001E3522">
            <w:pPr>
              <w:rPr>
                <w:rFonts w:ascii="Arial" w:hAnsi="Arial" w:cs="Arial"/>
                <w:szCs w:val="22"/>
              </w:rPr>
            </w:pPr>
            <w:r w:rsidRPr="00883C55">
              <w:rPr>
                <w:rFonts w:ascii="Arial" w:hAnsi="Arial" w:cs="Arial"/>
                <w:szCs w:val="22"/>
              </w:rPr>
              <w:t xml:space="preserve">Legal </w:t>
            </w:r>
            <w:r w:rsidR="00276BFF" w:rsidRPr="00883C55">
              <w:rPr>
                <w:rFonts w:ascii="Arial" w:hAnsi="Arial" w:cs="Arial"/>
                <w:szCs w:val="22"/>
              </w:rPr>
              <w:t>code license</w:t>
            </w:r>
          </w:p>
        </w:tc>
        <w:tc>
          <w:tcPr>
            <w:tcW w:w="5357" w:type="dxa"/>
          </w:tcPr>
          <w:p w14:paraId="074AE2C1" w14:textId="4D3974FB" w:rsidR="005C4F03" w:rsidRPr="005C4F03" w:rsidRDefault="005C4F03" w:rsidP="005C4F03">
            <w:pPr/>
            <w:r>
              <w:rPr>
                <w:rFonts w:ascii="Arial" w:hAnsi="Arial" w:cs="Arial"/>
                <w:szCs w:val="22"/>
                <w:b w:val="0"/>
              </w:rPr>
              <w:t xml:space="preserve">MIT License</w:t>
            </w:r>
          </w:p>
        </w:tc>
      </w:tr>
      <w:tr w:rsidR="00DD67E2" w:rsidRPr="00883C55" w14:paraId="438B01EC" w14:textId="77777777" w:rsidTr="008F38E0">
        <w:trPr>
          <w:cantSplit/>
        </w:trPr>
        <w:tc>
          <w:tcPr>
            <w:tcW w:w="567" w:type="dxa"/>
          </w:tcPr>
          <w:p w14:paraId="04E361F4" w14:textId="239E0838" w:rsidR="00DD67E2" w:rsidRPr="00883C55" w:rsidRDefault="002B7866" w:rsidP="001E3522">
            <w:pPr>
              <w:rPr>
                <w:rFonts w:ascii="Arial" w:hAnsi="Arial" w:cs="Arial"/>
                <w:szCs w:val="22"/>
              </w:rPr>
            </w:pPr>
            <w:r w:rsidRPr="00883C55">
              <w:rPr>
                <w:rFonts w:ascii="Arial" w:hAnsi="Arial" w:cs="Arial"/>
                <w:szCs w:val="22"/>
              </w:rPr>
              <w:t>C</w:t>
            </w:r>
            <w:r w:rsidR="00976A1C">
              <w:rPr>
                <w:rFonts w:ascii="Arial" w:hAnsi="Arial" w:cs="Arial"/>
                <w:szCs w:val="22"/>
              </w:rPr>
              <w:t>4</w:t>
            </w:r>
          </w:p>
        </w:tc>
        <w:tc>
          <w:tcPr>
            <w:tcW w:w="3554" w:type="dxa"/>
          </w:tcPr>
          <w:p w14:paraId="2231913A" w14:textId="77777777" w:rsidR="00DD67E2" w:rsidRPr="00883C55" w:rsidRDefault="00DD67E2" w:rsidP="001E3522">
            <w:pPr>
              <w:rPr>
                <w:rFonts w:ascii="Arial" w:hAnsi="Arial" w:cs="Arial"/>
                <w:szCs w:val="22"/>
              </w:rPr>
            </w:pPr>
            <w:r w:rsidRPr="00883C55">
              <w:rPr>
                <w:rFonts w:ascii="Arial" w:hAnsi="Arial" w:cs="Arial"/>
                <w:szCs w:val="22"/>
              </w:rPr>
              <w:t>Code versioning system used</w:t>
            </w:r>
          </w:p>
        </w:tc>
        <w:tc>
          <w:tcPr>
            <w:tcW w:w="5357" w:type="dxa"/>
          </w:tcPr>
          <w:p w14:paraId="074AE2C1" w14:textId="4D3974FB" w:rsidR="005C4F03" w:rsidRPr="005C4F03" w:rsidRDefault="005C4F03" w:rsidP="005C4F03">
            <w:pPr/>
            <w:r>
              <w:rPr>
                <w:rFonts w:ascii="Arial" w:hAnsi="Arial" w:cs="Arial"/>
                <w:szCs w:val="22"/>
                <w:b w:val="0"/>
              </w:rPr>
              <w:t xml:space="preserve">Git</w:t>
            </w:r>
          </w:p>
        </w:tc>
      </w:tr>
      <w:tr w:rsidR="00DD67E2" w:rsidRPr="00883C55" w14:paraId="16946563" w14:textId="77777777" w:rsidTr="008F38E0">
        <w:trPr>
          <w:cantSplit/>
        </w:trPr>
        <w:tc>
          <w:tcPr>
            <w:tcW w:w="567" w:type="dxa"/>
          </w:tcPr>
          <w:p w14:paraId="46D58CC8" w14:textId="2FC2DB60" w:rsidR="00DD67E2" w:rsidRPr="00883C55" w:rsidRDefault="002B7866" w:rsidP="001E3522">
            <w:pPr>
              <w:rPr>
                <w:rFonts w:ascii="Arial" w:hAnsi="Arial" w:cs="Arial"/>
                <w:szCs w:val="22"/>
              </w:rPr>
            </w:pPr>
            <w:r w:rsidRPr="00883C55">
              <w:rPr>
                <w:rFonts w:ascii="Arial" w:hAnsi="Arial" w:cs="Arial"/>
                <w:szCs w:val="22"/>
              </w:rPr>
              <w:t>C</w:t>
            </w:r>
            <w:r w:rsidR="00976A1C">
              <w:rPr>
                <w:rFonts w:ascii="Arial" w:hAnsi="Arial" w:cs="Arial"/>
                <w:szCs w:val="22"/>
              </w:rPr>
              <w:t>5</w:t>
            </w:r>
          </w:p>
        </w:tc>
        <w:tc>
          <w:tcPr>
            <w:tcW w:w="3554" w:type="dxa"/>
          </w:tcPr>
          <w:p w14:paraId="0986AA87" w14:textId="220B6BEB" w:rsidR="00DD67E2" w:rsidRPr="00883C55" w:rsidRDefault="00DD67E2" w:rsidP="001E3522">
            <w:pPr>
              <w:rPr>
                <w:rFonts w:ascii="Arial" w:hAnsi="Arial" w:cs="Arial"/>
                <w:szCs w:val="22"/>
              </w:rPr>
            </w:pPr>
            <w:r w:rsidRPr="00883C55">
              <w:rPr>
                <w:rFonts w:ascii="Arial" w:hAnsi="Arial" w:cs="Arial"/>
                <w:szCs w:val="22"/>
              </w:rPr>
              <w:t>Software code languages, tools</w:t>
            </w:r>
            <w:r w:rsidR="003B4D9B" w:rsidRPr="00883C55">
              <w:rPr>
                <w:rFonts w:ascii="Arial" w:hAnsi="Arial" w:cs="Arial"/>
                <w:szCs w:val="22"/>
              </w:rPr>
              <w:t xml:space="preserve"> </w:t>
            </w:r>
            <w:r w:rsidRPr="00883C55">
              <w:rPr>
                <w:rFonts w:ascii="Arial" w:hAnsi="Arial" w:cs="Arial"/>
                <w:szCs w:val="22"/>
              </w:rPr>
              <w:t>and services used</w:t>
            </w:r>
          </w:p>
        </w:tc>
        <w:tc>
          <w:tcPr>
            <w:tcW w:w="5357" w:type="dxa"/>
          </w:tcPr>
          <w:p w14:paraId="074AE2C1" w14:textId="4D3974FB" w:rsidR="005C4F03" w:rsidRPr="005C4F03" w:rsidRDefault="005C4F03" w:rsidP="005C4F03">
            <w:pPr/>
            <w:r>
              <w:rPr>
                <w:rFonts w:ascii="Arial" w:hAnsi="Arial" w:cs="Arial"/>
                <w:szCs w:val="22"/>
                <w:b w:val="0"/>
              </w:rPr>
              <w:t xml:space="preserve">Python; stdio Model Context Protocol; ComfyUI and WebUI adapters</w:t>
            </w:r>
          </w:p>
        </w:tc>
      </w:tr>
      <w:tr w:rsidR="00DD67E2" w:rsidRPr="00883C55" w14:paraId="68707A76" w14:textId="77777777" w:rsidTr="008F38E0">
        <w:trPr>
          <w:cantSplit/>
        </w:trPr>
        <w:tc>
          <w:tcPr>
            <w:tcW w:w="567" w:type="dxa"/>
          </w:tcPr>
          <w:p w14:paraId="56024155" w14:textId="34EB12F9" w:rsidR="00DD67E2" w:rsidRPr="00883C55" w:rsidRDefault="002B7866" w:rsidP="001E3522">
            <w:pPr>
              <w:rPr>
                <w:rFonts w:ascii="Arial" w:hAnsi="Arial" w:cs="Arial"/>
                <w:szCs w:val="22"/>
              </w:rPr>
            </w:pPr>
            <w:r w:rsidRPr="00883C55">
              <w:rPr>
                <w:rFonts w:ascii="Arial" w:hAnsi="Arial" w:cs="Arial"/>
                <w:szCs w:val="22"/>
              </w:rPr>
              <w:lastRenderedPageBreak/>
              <w:t>C</w:t>
            </w:r>
            <w:r w:rsidR="00976A1C">
              <w:rPr>
                <w:rFonts w:ascii="Arial" w:hAnsi="Arial" w:cs="Arial"/>
                <w:szCs w:val="22"/>
              </w:rPr>
              <w:t>6</w:t>
            </w:r>
          </w:p>
        </w:tc>
        <w:tc>
          <w:tcPr>
            <w:tcW w:w="3554" w:type="dxa"/>
          </w:tcPr>
          <w:p w14:paraId="2F9146D3" w14:textId="2B37EA71" w:rsidR="00DD67E2" w:rsidRPr="00883C55" w:rsidRDefault="00DD67E2" w:rsidP="001E3522">
            <w:pPr>
              <w:rPr>
                <w:rFonts w:ascii="Arial" w:hAnsi="Arial" w:cs="Arial"/>
                <w:szCs w:val="22"/>
              </w:rPr>
            </w:pPr>
            <w:r w:rsidRPr="00883C55">
              <w:rPr>
                <w:rFonts w:ascii="Arial" w:hAnsi="Arial" w:cs="Arial"/>
                <w:szCs w:val="22"/>
              </w:rPr>
              <w:t xml:space="preserve">Compilation requirements, operating environments </w:t>
            </w:r>
            <w:r w:rsidR="00A51119" w:rsidRPr="00883C55">
              <w:rPr>
                <w:rFonts w:ascii="Arial" w:hAnsi="Arial" w:cs="Arial"/>
                <w:szCs w:val="22"/>
              </w:rPr>
              <w:t xml:space="preserve">and </w:t>
            </w:r>
            <w:r w:rsidRPr="00883C55">
              <w:rPr>
                <w:rFonts w:ascii="Arial" w:hAnsi="Arial" w:cs="Arial"/>
                <w:szCs w:val="22"/>
              </w:rPr>
              <w:t>dependencies</w:t>
            </w:r>
          </w:p>
        </w:tc>
        <w:tc>
          <w:tcPr>
            <w:tcW w:w="5357" w:type="dxa"/>
          </w:tcPr>
          <w:p w14:paraId="074AE2C1" w14:textId="4D3974FB" w:rsidR="005C4F03" w:rsidRPr="005C4F03" w:rsidRDefault="005C4F03" w:rsidP="005C4F03">
            <w:pPr/>
            <w:r>
              <w:rPr>
                <w:rFonts w:ascii="Arial" w:hAnsi="Arial" w:cs="Arial"/>
                <w:szCs w:val="22"/>
                <w:b w:val="0"/>
              </w:rPr>
              <w:t xml:space="preserve">Python &gt;=3.11; Windows product platform; py7zr==1.1.3. Backend and model installation is separate. CI: Python 3.11/3.12 on Windows and Ubuntu.</w:t>
            </w:r>
          </w:p>
        </w:tc>
      </w:tr>
      <w:tr w:rsidR="00DD67E2" w:rsidRPr="00883C55" w14:paraId="286C72E5" w14:textId="77777777" w:rsidTr="008F38E0">
        <w:trPr>
          <w:cantSplit/>
        </w:trPr>
        <w:tc>
          <w:tcPr>
            <w:tcW w:w="567" w:type="dxa"/>
          </w:tcPr>
          <w:p w14:paraId="3E16E1E6" w14:textId="711E8AAE" w:rsidR="00DD67E2" w:rsidRPr="00883C55" w:rsidRDefault="002B7866" w:rsidP="001E3522">
            <w:pPr>
              <w:rPr>
                <w:rFonts w:ascii="Arial" w:hAnsi="Arial" w:cs="Arial"/>
                <w:szCs w:val="22"/>
              </w:rPr>
            </w:pPr>
            <w:r w:rsidRPr="00883C55">
              <w:rPr>
                <w:rFonts w:ascii="Arial" w:hAnsi="Arial" w:cs="Arial"/>
                <w:szCs w:val="22"/>
              </w:rPr>
              <w:t>C</w:t>
            </w:r>
            <w:r w:rsidR="00976A1C">
              <w:rPr>
                <w:rFonts w:ascii="Arial" w:hAnsi="Arial" w:cs="Arial"/>
                <w:szCs w:val="22"/>
              </w:rPr>
              <w:t>7</w:t>
            </w:r>
          </w:p>
        </w:tc>
        <w:tc>
          <w:tcPr>
            <w:tcW w:w="3554" w:type="dxa"/>
          </w:tcPr>
          <w:p w14:paraId="0EE51704" w14:textId="1B29C340" w:rsidR="00DD67E2" w:rsidRPr="00883C55" w:rsidRDefault="00DD67E2" w:rsidP="001E3522">
            <w:pPr>
              <w:rPr>
                <w:rFonts w:ascii="Arial" w:hAnsi="Arial" w:cs="Arial"/>
                <w:szCs w:val="22"/>
              </w:rPr>
            </w:pPr>
            <w:r w:rsidRPr="00883C55">
              <w:rPr>
                <w:rFonts w:ascii="Arial" w:hAnsi="Arial" w:cs="Arial"/>
                <w:szCs w:val="22"/>
              </w:rPr>
              <w:t>If available</w:t>
            </w:r>
            <w:r w:rsidR="003B4D9B" w:rsidRPr="00883C55">
              <w:rPr>
                <w:rFonts w:ascii="Arial" w:hAnsi="Arial" w:cs="Arial"/>
                <w:szCs w:val="22"/>
              </w:rPr>
              <w:t>,</w:t>
            </w:r>
            <w:r w:rsidRPr="00883C55">
              <w:rPr>
                <w:rFonts w:ascii="Arial" w:hAnsi="Arial" w:cs="Arial"/>
                <w:szCs w:val="22"/>
              </w:rPr>
              <w:t xml:space="preserve"> </w:t>
            </w:r>
            <w:r w:rsidR="003B4D9B" w:rsidRPr="00883C55">
              <w:rPr>
                <w:rFonts w:ascii="Arial" w:hAnsi="Arial" w:cs="Arial"/>
                <w:szCs w:val="22"/>
              </w:rPr>
              <w:t>l</w:t>
            </w:r>
            <w:r w:rsidRPr="00883C55">
              <w:rPr>
                <w:rFonts w:ascii="Arial" w:hAnsi="Arial" w:cs="Arial"/>
                <w:szCs w:val="22"/>
              </w:rPr>
              <w:t>ink to developer documentation/manual</w:t>
            </w:r>
          </w:p>
        </w:tc>
        <w:tc>
          <w:tcPr>
            <w:tcW w:w="5357" w:type="dxa"/>
          </w:tcPr>
          <w:p w14:paraId="074AE2C1" w14:textId="4D3974FB" w:rsidR="005C4F03" w:rsidRPr="005C4F03" w:rsidRDefault="005C4F03" w:rsidP="005C4F03">
            <w:pPr/>
            <w:r>
              <w:rPr>
                <w:rFonts w:ascii="Arial" w:hAnsi="Arial" w:cs="Arial"/>
                <w:szCs w:val="22"/>
                <w:b w:val="0"/>
              </w:rPr>
              <w:t xml:space="preserve">https://github.com/ChevalGrand520/local-gpu-imagegen/blob/dfc8378cb3d891f7951786bc4544cd971bd56a11/README.md</w:t>
            </w:r>
          </w:p>
        </w:tc>
      </w:tr>
      <w:tr w:rsidR="00DD67E2" w:rsidRPr="00883C55" w14:paraId="59B634D9" w14:textId="77777777" w:rsidTr="008F38E0">
        <w:trPr>
          <w:cantSplit/>
        </w:trPr>
        <w:tc>
          <w:tcPr>
            <w:tcW w:w="567" w:type="dxa"/>
          </w:tcPr>
          <w:p w14:paraId="63807196" w14:textId="09A695AA" w:rsidR="00DD67E2" w:rsidRPr="00883C55" w:rsidRDefault="002B7866" w:rsidP="001E3522">
            <w:pPr>
              <w:rPr>
                <w:rFonts w:ascii="Arial" w:hAnsi="Arial" w:cs="Arial"/>
                <w:szCs w:val="22"/>
              </w:rPr>
            </w:pPr>
            <w:r w:rsidRPr="00883C55">
              <w:rPr>
                <w:rFonts w:ascii="Arial" w:hAnsi="Arial" w:cs="Arial"/>
                <w:szCs w:val="22"/>
              </w:rPr>
              <w:t>C</w:t>
            </w:r>
            <w:r w:rsidR="00976A1C">
              <w:rPr>
                <w:rFonts w:ascii="Arial" w:hAnsi="Arial" w:cs="Arial"/>
                <w:szCs w:val="22"/>
              </w:rPr>
              <w:t>8</w:t>
            </w:r>
          </w:p>
        </w:tc>
        <w:tc>
          <w:tcPr>
            <w:tcW w:w="3554" w:type="dxa"/>
          </w:tcPr>
          <w:p w14:paraId="519282C0" w14:textId="77777777" w:rsidR="00DD67E2" w:rsidRPr="00883C55" w:rsidRDefault="00DD67E2" w:rsidP="001E3522">
            <w:pPr>
              <w:rPr>
                <w:rFonts w:ascii="Arial" w:hAnsi="Arial" w:cs="Arial"/>
                <w:szCs w:val="22"/>
              </w:rPr>
            </w:pPr>
            <w:r w:rsidRPr="00883C55">
              <w:rPr>
                <w:rFonts w:ascii="Arial" w:hAnsi="Arial" w:cs="Arial"/>
                <w:szCs w:val="22"/>
              </w:rPr>
              <w:t>Support email for questions</w:t>
            </w:r>
          </w:p>
        </w:tc>
        <w:tc>
          <w:tcPr>
            <w:tcW w:w="5357" w:type="dxa"/>
          </w:tcPr>
          <w:p w14:paraId="074AE2C1" w14:textId="4D3974FB" w:rsidR="005C4F03" w:rsidRPr="005C4F03" w:rsidRDefault="005C4F03" w:rsidP="005C4F03">
            <w:pPr/>
            <w:r>
              <w:rPr>
                <w:rFonts w:ascii="Arial" w:hAnsi="Arial" w:cs="Arial"/>
                <w:szCs w:val="22"/>
                <w:b w:val="0"/>
              </w:rPr>
              <w:t xml:space="preserve">ChengZhen0105@outlook.com</w:t>
            </w:r>
          </w:p>
        </w:tc>
      </w:tr>
    </w:tbl>
    <w:p w14:paraId="36A737EB" w14:textId="6CE18ED1" w:rsidR="0003483D" w:rsidRPr="00FC6B88" w:rsidRDefault="00657B03" w:rsidP="001E3522">
      <w:pPr>
        <w:pStyle w:val="Heading1"/>
        <w:numPr>
          <w:ilvl w:val="0"/>
          <w:numId w:val="1"/>
        </w:numPr>
        <w:spacing w:before="0" w:line="240" w:lineRule="auto"/>
        <w:ind w:hanging="359"/>
      </w:pPr>
      <w:r>
        <w:rPr>
          <w:rFonts w:ascii="Arial" w:eastAsia="Calibri" w:hAnsi="Arial" w:cs="Arial"/>
          <w:sz w:val="22"/>
          <w:szCs w:val="22"/>
          <w:b w:val="1"/>
        </w:rPr>
        <w:t xml:space="preserve">Motivation and significance</w:t>
      </w:r>
    </w:p>
    <w:p w14:paraId="074AE2C1" w14:textId="4D3974FB" w:rsidR="005C4F03" w:rsidRPr="005C4F03" w:rsidRDefault="005C4F03" w:rsidP="005C4F03">
      <w:pPr>
        <w:spacing w:after="0" w:line="240" w:lineRule="auto"/>
      </w:pPr>
      <w:r>
        <w:rPr>
          <w:rFonts w:ascii="Arial" w:hAnsi="Arial" w:cs="Arial"/>
          <w:szCs w:val="22"/>
          <w:b w:val="0"/>
        </w:rPr>
        <w:t xml:space="preserve">Local image-generation clients select workflows, submit parameters, inspect progress and retrieve images through backend adapters. Product calls, adapter sends, backend acceptance, execution and client completion are separate events. A failed response does not necessarily imply that no backend job exists. Retaining those distinctions is necessary to inspect incomplete operations.</w:t>
      </w:r>
    </w:p>
    <w:p w14:paraId="074AE2C1" w14:textId="4D3974FB" w:rsidR="005C4F03" w:rsidRPr="005C4F03" w:rsidRDefault="005C4F03" w:rsidP="005C4F03">
      <w:pPr>
        <w:spacing w:after="0" w:line="240" w:lineRule="auto"/>
      </w:pPr>
      <w:r>
        <w:rPr>
          <w:rFonts w:ascii="Arial" w:hAnsi="Arial" w:cs="Arial"/>
          <w:szCs w:val="22"/>
          <w:b w:val="0"/>
        </w:rPr>
        <w:t xml:space="preserve">Remote procedure calls and idempotent API design explain why communication failures can make retries repeat an operation's effects [1,2]. In local image generation, a lost acceptance response can lead to another accepted job, while stopping after uncertainty can block completion even if nothing was sent. The engineering question is what the controller records and permits at this boundary.</w:t>
      </w:r>
    </w:p>
    <w:p w14:paraId="074AE2C1" w14:textId="4D3974FB" w:rsidR="005C4F03" w:rsidRPr="005C4F03" w:rsidRDefault="005C4F03" w:rsidP="005C4F03">
      <w:pPr>
        <w:spacing w:after="0" w:line="240" w:lineRule="auto"/>
      </w:pPr>
      <w:r>
        <w:rPr>
          <w:rFonts w:ascii="Arial" w:hAnsi="Arial" w:cs="Arial"/>
          <w:szCs w:val="22"/>
          <w:b w:val="0"/>
        </w:rPr>
        <w:t xml:space="preserve">Local GPU Imagegen provides a reusable control plane around local backends. It combines a thin MCP transport, explicit discovery and trust checks, a durable run engine and backend adapters. Li's simulated-service study evaluates a closely related guard that remembers unknown writes and refuses unverifiable repeats [3]. Our contribution is the concrete local image-generation integration and a limited characterization of submission withholding and incomplete client runs, including a pre-send false block. We introduce no new recovery policy and make no comparative efficacy claim. Li also identifies a verification-only limit without a known in-flight bound; that result provides context, but does not establish that our particular unresolved runs were unavoidable.</w:t>
      </w:r>
    </w:p>
    <w:p w14:paraId="074AE2C1" w14:textId="4D3974FB" w:rsidR="005C4F03" w:rsidRPr="005C4F03" w:rsidRDefault="005C4F03" w:rsidP="005C4F03">
      <w:pPr>
        <w:spacing w:after="0" w:line="240" w:lineRule="auto"/>
      </w:pPr>
      <w:r>
        <w:rPr>
          <w:rFonts w:ascii="Arial" w:hAnsi="Arial" w:cs="Arial"/>
          <w:szCs w:val="22"/>
          <w:b w:val="0"/>
        </w:rPr>
        <w:t xml:space="preserve">The intended reuse is in workflows needing explicit local backend selection and inspectable completion failures. Retained state supports investigation of an unresolved run. This is a potential use case, not measured external adoption or a quantified improvement in scientific productivity.</w:t>
      </w:r>
    </w:p>
    <w:p w14:paraId="4B8E7CEE" w14:textId="4FD05474" w:rsidR="0003483D" w:rsidRPr="00FC6B88" w:rsidRDefault="00657B03" w:rsidP="001E3522">
      <w:pPr>
        <w:pStyle w:val="Heading1"/>
        <w:numPr>
          <w:ilvl w:val="0"/>
          <w:numId w:val="1"/>
        </w:numPr>
        <w:spacing w:before="0" w:line="240" w:lineRule="auto"/>
        <w:ind w:hanging="359"/>
      </w:pPr>
      <w:r>
        <w:rPr>
          <w:rFonts w:ascii="Arial" w:eastAsia="Calibri" w:hAnsi="Arial" w:cs="Arial"/>
          <w:sz w:val="22"/>
          <w:szCs w:val="22"/>
          <w:b w:val="1"/>
        </w:rPr>
        <w:t xml:space="preserve">Software description</w:t>
      </w:r>
    </w:p>
    <w:p w14:paraId="58F797D1" w14:textId="77777777" w:rsidR="00FC6B88" w:rsidRPr="00FC6B88" w:rsidRDefault="00657B03" w:rsidP="001E3522">
      <w:pPr>
        <w:pStyle w:val="Heading1"/>
        <w:numPr>
          <w:ilvl w:val="1"/>
          <w:numId w:val="1"/>
        </w:numPr>
        <w:spacing w:before="0" w:line="240" w:lineRule="auto"/>
        <w:ind w:hanging="431"/>
        <w:contextualSpacing/>
      </w:pPr>
      <w:r>
        <w:rPr>
          <w:rFonts w:ascii="Arial" w:hAnsi="Arial" w:cs="Arial"/>
          <w:sz w:val="22"/>
          <w:szCs w:val="22"/>
          <w:b w:val="1"/>
        </w:rPr>
        <w:t xml:space="preserve">Software architecture</w:t>
      </w:r>
    </w:p>
    <w:p w14:paraId="074AE2C1" w14:textId="4D3974FB" w:rsidR="005C4F03" w:rsidRPr="005C4F03" w:rsidRDefault="005C4F03" w:rsidP="005C4F03">
      <w:pPr>
        <w:spacing w:after="0" w:line="240" w:lineRule="auto"/>
      </w:pPr>
      <w:r>
        <w:rPr>
          <w:rFonts w:ascii="Arial" w:hAnsi="Arial" w:cs="Arial"/>
          <w:szCs w:val="22"/>
          <w:b w:val="0"/>
        </w:rPr>
        <w:t xml:space="preserve">The MCP transport handles JSON-RPC, schemas, validation, dispatch, timeouts and structured results. Discovery, trust and capability routing precede execution. The run engine owns orchestration and delegates persistent state to RunStore. Backend loading and image generation are delegated to the generation module and its adapters. The repository includes ComfyUI and WebUI adapters and a Diffusers compatibility path; the retained paired experiment concerns ComfyUI only.</w:t>
      </w:r>
    </w:p>
    <w:p w14:paraId="074AE2C1" w14:textId="4D3974FB" w:rsidR="005C4F03" w:rsidRPr="005C4F03" w:rsidRDefault="005C4F03" w:rsidP="005C4F03">
      <w:pPr>
        <w:keepNext/>
        <w:spacing w:after="0" w:line="240" w:lineRule="auto"/>
      </w:pPr>
      <w:r>
        <w:drawing>
          <wp:inline xmlns:a="http://schemas.openxmlformats.org/drawingml/2006/main" xmlns:pic="http://schemas.openxmlformats.org/drawingml/2006/picture">
            <wp:extent cx="5943600" cy="2910507"/>
            <wp:docPr id="1" name="Picture 1"/>
            <wp:cNvGraphicFramePr>
              <a:graphicFrameLocks noChangeAspect="1"/>
            </wp:cNvGraphicFramePr>
            <a:graphic>
              <a:graphicData uri="http://schemas.openxmlformats.org/drawingml/2006/picture">
                <pic:pic>
                  <pic:nvPicPr>
                    <pic:cNvPr id="0" name="architecture.png"/>
                    <pic:cNvPicPr/>
                  </pic:nvPicPr>
                  <pic:blipFill>
                    <a:blip r:embed="rId26"/>
                    <a:stretch>
                      <a:fillRect/>
                    </a:stretch>
                  </pic:blipFill>
                  <pic:spPr>
                    <a:xfrm>
                      <a:off x="0" y="0"/>
                      <a:ext cx="5943600" cy="2910507"/>
                    </a:xfrm>
                    <a:prstGeom prst="rect"/>
                  </pic:spPr>
                </pic:pic>
              </a:graphicData>
            </a:graphic>
          </wp:inline>
        </w:drawing>
      </w:r>
    </w:p>
    <w:p w14:paraId="074AE2C1" w14:textId="4D3974FB" w:rsidR="005C4F03" w:rsidRPr="005C4F03" w:rsidRDefault="005C4F03" w:rsidP="005C4F03">
      <w:pPr>
        <w:keepLines/>
        <w:spacing w:after="0" w:line="240" w:lineRule="auto"/>
      </w:pPr>
      <w:r>
        <w:rPr>
          <w:rFonts w:ascii="Arial" w:hAnsi="Arial" w:cs="Arial"/>
          <w:szCs w:val="22"/>
          <w:b w:val="0"/>
        </w:rPr>
        <w:t xml:space="preserve">Figure 1. Product and source-only supplement. Solid arrows show control relationships; dashed arrows show retained-record access. No execution evidence is implied.</w:t>
      </w:r>
    </w:p>
    <w:p w14:paraId="074AE2C1" w14:textId="4D3974FB" w:rsidR="005C4F03" w:rsidRPr="005C4F03" w:rsidRDefault="005C4F03" w:rsidP="005C4F03">
      <w:pPr>
        <w:spacing w:after="0" w:line="240" w:lineRule="auto"/>
      </w:pPr>
      <w:r>
        <w:rPr>
          <w:rFonts w:ascii="Arial" w:hAnsi="Arial" w:cs="Arial"/>
          <w:szCs w:val="22"/>
          <w:b w:val="0"/>
        </w:rPr>
        <w:t xml:space="preserve">A durable run record connects the requested operation to its selected route, submission state and outputs. Root and child runs support explicit revisions rather than silently overwriting an earlier operation. The route is fixed for the operation, and route drift is rejected. Persistence allows a later invocation to inspect an unresolved submission state. These are software contracts, whose model-free tests are distinct from the paired backend execution record.</w:t>
      </w:r>
    </w:p>
    <w:p w14:paraId="074AE2C1" w14:textId="4D3974FB" w:rsidR="005C4F03" w:rsidRPr="005C4F03" w:rsidRDefault="005C4F03" w:rsidP="005C4F03">
      <w:pPr>
        <w:spacing w:after="0" w:line="240" w:lineRule="auto"/>
      </w:pPr>
      <w:r>
        <w:rPr>
          <w:rFonts w:ascii="Arial" w:hAnsi="Arial" w:cs="Arial"/>
          <w:szCs w:val="22"/>
          <w:b w:val="0"/>
        </w:rPr>
        <w:t xml:space="preserve">The distribution does not bundle a GPU backend or model weights. A user supplies an appropriate local backend and reviews the workflow and model selection. The MCP process does not call an application-specific cloud image API. Confirmed LAN endpoints transmit prompts and source images to that server; loopback is local. Trust records remain outside Git, and model downloads require an explicit download option. Generated and input images remain ordinary local files whose directory permissions are the user's responsibility.</w:t>
      </w:r>
    </w:p>
    <w:p w14:paraId="58F797D1" w14:textId="77777777" w:rsidR="00FC6B88" w:rsidRPr="00FC6B88" w:rsidRDefault="00657B03" w:rsidP="001E3522">
      <w:pPr>
        <w:pStyle w:val="Heading1"/>
        <w:numPr>
          <w:ilvl w:val="1"/>
          <w:numId w:val="1"/>
        </w:numPr>
        <w:spacing w:before="0" w:line="240" w:lineRule="auto"/>
        <w:ind w:hanging="431"/>
        <w:contextualSpacing/>
      </w:pPr>
      <w:r>
        <w:rPr>
          <w:rFonts w:ascii="Arial" w:hAnsi="Arial" w:cs="Arial"/>
          <w:sz w:val="22"/>
          <w:szCs w:val="22"/>
          <w:b w:val="1"/>
        </w:rPr>
        <w:t xml:space="preserve">Software functionalities</w:t>
      </w:r>
    </w:p>
    <w:p w14:paraId="074AE2C1" w14:textId="4D3974FB" w:rsidR="005C4F03" w:rsidRPr="005C4F03" w:rsidRDefault="005C4F03" w:rsidP="005C4F03">
      <w:pPr>
        <w:spacing w:after="0" w:line="240" w:lineRule="auto"/>
      </w:pPr>
      <w:r>
        <w:rPr>
          <w:rFonts w:ascii="Arial" w:hAnsi="Arial" w:cs="Arial"/>
          <w:szCs w:val="22"/>
          <w:b w:val="0"/>
        </w:rPr>
        <w:t xml:space="preserve">For the evaluated same-run path, an unknown submission outcome prevents another automatic submission. The guard consults retained run state and returns an unresolved result. This withholding does not by itself identify an accepted backend job, reconcile its output or complete the client operation. It also does not provide backend-wide deduplication across arbitrary processes or newly created runs.</w:t>
      </w:r>
    </w:p>
    <w:p w14:paraId="074AE2C1" w14:textId="4D3974FB" w:rsidR="005C4F03" w:rsidRPr="005C4F03" w:rsidRDefault="005C4F03" w:rsidP="005C4F03">
      <w:pPr>
        <w:spacing w:after="0" w:line="240" w:lineRule="auto"/>
      </w:pPr>
      <w:r>
        <w:rPr>
          <w:rFonts w:ascii="Arial" w:hAnsi="Arial" w:cs="Arial"/>
          <w:szCs w:val="22"/>
          <w:b w:val="0"/>
        </w:rPr>
        <w:t xml:space="preserve">The relevant boundary is the distinction between known failure before sending and an outcome recorded as unknown. If the caller lacks evidence sufficient to distinguish the two, withholding can be conservative with respect to repeated sends and costly with respect to completion. The pre-send example below exposes that cost directly. The implementation should therefore be interpreted as an explicit operational contract, rather than a guarantee that every uncertain operation can recover.</w:t>
      </w:r>
    </w:p>
    <w:p w14:paraId="074AE2C1" w14:textId="4D3974FB" w:rsidR="005C4F03" w:rsidRPr="005C4F03" w:rsidRDefault="005C4F03" w:rsidP="005C4F03">
      <w:pPr>
        <w:spacing w:after="0" w:line="240" w:lineRule="auto"/>
      </w:pPr>
      <w:r>
        <w:rPr>
          <w:rFonts w:ascii="Arial" w:hAnsi="Arial" w:cs="Arial"/>
          <w:szCs w:val="22"/>
          <w:b w:val="0"/>
        </w:rPr>
        <w:t xml:space="preserve">The ComfyUI adapter can poll /history/&lt;job_id&gt; when a backend job identifier is known, including its explicit recovery path. In the unknown-submission path, the response has not supplied a retained job identifier; the product does not automatically discover that missing identifier from backend history or establish whether an unbound request is in flight. local_gpu_get_run returns local retained state, rather than resolving backend acceptance. This implementation boundary explains what remains unknown in F02; it is not a general impossibility result for ComfyUI.</w:t>
      </w:r>
    </w:p>
    <w:p w14:paraId="58F797D1" w14:textId="77777777" w:rsidR="00FC6B88" w:rsidRPr="00FC6B88" w:rsidRDefault="00657B03" w:rsidP="001E3522">
      <w:pPr>
        <w:pStyle w:val="Heading1"/>
        <w:numPr>
          <w:ilvl w:val="1"/>
          <w:numId w:val="1"/>
        </w:numPr>
        <w:spacing w:before="0" w:line="240" w:lineRule="auto"/>
        <w:ind w:hanging="431"/>
        <w:contextualSpacing/>
      </w:pPr>
      <w:r>
        <w:rPr>
          <w:rFonts w:ascii="Arial" w:hAnsi="Arial" w:cs="Arial"/>
          <w:sz w:val="22"/>
          <w:szCs w:val="22"/>
          <w:b w:val="1"/>
        </w:rPr>
        <w:t xml:space="preserve">Inspection and interfaces</w:t>
      </w:r>
    </w:p>
    <w:p w14:paraId="074AE2C1" w14:textId="4D3974FB" w:rsidR="005C4F03" w:rsidRPr="005C4F03" w:rsidRDefault="005C4F03" w:rsidP="005C4F03">
      <w:pPr>
        <w:spacing w:after="0" w:line="240" w:lineRule="auto"/>
      </w:pPr>
      <w:r>
        <w:rPr>
          <w:rFonts w:ascii="Arial" w:hAnsi="Arial" w:cs="Arial"/>
          <w:szCs w:val="22"/>
          <w:b w:val="0"/>
        </w:rPr>
        <w:t xml:space="preserve">The installed CLI exposes serve, doctor, verify, config and setup contracts. The verify command checks the MCP interface; an isolated wheel installation reported version 0.9.1 and seventeen tools. That check establishes interface availability, not a complete image-generation workflow on the test machine.</w:t>
      </w:r>
    </w:p>
    <w:p w14:paraId="074AE2C1" w14:textId="4D3974FB" w:rsidR="005C4F03" w:rsidRPr="005C4F03" w:rsidRDefault="005C4F03" w:rsidP="005C4F03">
      <w:pPr>
        <w:spacing w:after="0" w:line="240" w:lineRule="auto"/>
      </w:pPr>
      <w:r>
        <w:rPr>
          <w:rFonts w:ascii="Arial" w:hAnsi="Arial" w:cs="Arial"/>
          <w:szCs w:val="22"/>
          <w:b w:val="0"/>
        </w:rPr>
        <w:t xml:space="preserve">The code and documentation links identify one immutable source snapshot, including README.md, Licence.txt, the product and research scripts. From that checkout's root, python -m pip install . installs the product and local-gpu-imagegen verify checks its interface. Version 0.9.1 also exists on PyPI, but that historical artifact is separate from the cited source snapshot. The README describes backend setup separately. From the checkout root, python paper/scripts/verify_paired_projection.py checks the included derived table without submitting a backend job. The checker and exporter require the source checkout and are absent from the product wheel. This example checks the accepted-job and completion distinctions in Section 3; it does not rerun the Windows campaign.</w:t>
      </w:r>
    </w:p>
    <w:p w14:paraId="074AE2C1" w14:textId="4D3974FB" w:rsidR="005C4F03" w:rsidRPr="005C4F03" w:rsidRDefault="005C4F03" w:rsidP="005C4F03">
      <w:pPr>
        <w:spacing w:after="0" w:line="240" w:lineRule="auto"/>
      </w:pPr>
      <w:r>
        <w:rPr>
          <w:rFonts w:ascii="Arial" w:hAnsi="Arial" w:cs="Arial"/>
          <w:szCs w:val="22"/>
          <w:b w:val="0"/>
        </w:rPr>
        <w:t xml:space="preserve">For an existing run, a client calls local_gpu_get_run with {"run_id":"&lt;existing-run-id&gt;"}. The response includes retained state, request.route and attempts, plus recoverable_next_actions computed during retrieval; the latter need not exist in the disk manifest. In the unknown-submission branch, the attempt has status: unresolved and submission_outcome: unknown, and the run has state: unresolved. Retrying that branch encounters submission_outcome_unknown before another send. Other unresolved attempts can retain a backend job without an unknown-outcome field. RunStore admits their recovery only with the matching idempotency key and request hash; the engine forwards recovery_job_id for its two-stage ComfyUI route, allowing the adapter to poll the retained job instead of posting again. This is a distinct path from the evaluated unknown-submission branch. The frozen request.route stores backend, endpoint/model identity and workflow/compiler versions for subsequent validation. Retrieval does not certify backend completion and can perform local stale-attempt recovery bookkeeping.</w:t>
      </w:r>
    </w:p>
    <w:p w14:paraId="074AE2C1" w14:textId="4D3974FB" w:rsidR="005C4F03" w:rsidRPr="005C4F03" w:rsidRDefault="005C4F03" w:rsidP="005C4F03">
      <w:pPr>
        <w:spacing w:after="0" w:line="240" w:lineRule="auto"/>
      </w:pPr>
      <w:r>
        <w:rPr>
          <w:rFonts w:ascii="Arial" w:hAnsi="Arial" w:cs="Arial"/>
          <w:szCs w:val="22"/>
          <w:b w:val="0"/>
        </w:rPr>
        <w:t xml:space="preserve">Research records can additionally be exported using scripts/research/export_records.py from the source checkout. Twelve synthetic offline probes, with no Windows or GPU execution, produced equal classifications for the exporter and a same-author field parser. Their fixture inputs are separate from the Windows capture bytes. The Python 3.13.15 receipt is paper/evidence/v022-probe-command-receipt.json, introduced at revision 9dd0634 and included in the cited snapshot. Consequently, the paper does not claim parser superiority or reduced independent audit effort.</w:t>
      </w:r>
    </w:p>
    <w:p w14:paraId="23371444" w14:textId="6E7EA08A" w:rsidR="0003483D" w:rsidRPr="00FC6B88" w:rsidRDefault="00657B03" w:rsidP="001E3522">
      <w:pPr>
        <w:pStyle w:val="Heading1"/>
        <w:numPr>
          <w:ilvl w:val="0"/>
          <w:numId w:val="1"/>
        </w:numPr>
        <w:spacing w:before="0" w:line="240" w:lineRule="auto"/>
        <w:ind w:hanging="359"/>
        <w:contextualSpacing/>
      </w:pPr>
      <w:r>
        <w:rPr>
          <w:rFonts w:ascii="Arial" w:eastAsia="Calibri" w:hAnsi="Arial" w:cs="Arial"/>
          <w:sz w:val="22"/>
          <w:szCs w:val="22"/>
          <w:b w:val="1"/>
        </w:rPr>
        <w:t xml:space="preserve">Illustrative examples</w:t>
      </w:r>
    </w:p>
    <w:p w14:paraId="62FE8705" w14:textId="3B3D771E" w:rsidR="008E3FC5" w:rsidRDefault="00657B03" w:rsidP="001E3522">
      <w:pPr>
        <w:pStyle w:val="Heading1"/>
        <w:spacing w:before="0" w:line="240" w:lineRule="auto"/>
      </w:pPr>
      <w:r>
        <w:rPr>
          <w:rFonts w:ascii="Arial" w:eastAsia="Calibri" w:hAnsi="Arial" w:cs="Arial"/>
          <w:sz w:val="22"/>
          <w:szCs w:val="22"/>
          <w:b w:val="1"/>
        </w:rPr>
        <w:t xml:space="preserve">Fixed paired protocol</w:t>
      </w:r>
    </w:p>
    <w:p w14:paraId="074AE2C1" w14:textId="4D3974FB" w:rsidR="005C4F03" w:rsidRPr="005C4F03" w:rsidRDefault="005C4F03" w:rsidP="005C4F03">
      <w:pPr>
        <w:spacing w:after="0" w:line="240" w:lineRule="auto"/>
      </w:pPr>
      <w:r>
        <w:rPr>
          <w:rFonts w:ascii="Arial" w:hAnsi="Arial" w:cs="Arial"/>
          <w:szCs w:val="22"/>
          <w:b w:val="0"/>
        </w:rPr>
        <w:t xml:space="preserve">The corrected Windows capture uses source revision 08539d5 and comprises six operations: one B2 path and one guarded W3 path for each of three fixed conditions. F00 is the normal condition. F02 loses a response after acceptance. FPRE fails before upstream sending. B2 repeats after the injected failure; W3 retains the unknown state and withholds another same-run submission. These labels denote the particular paths tested, not populations of users or workloads.</w:t>
      </w:r>
    </w:p>
    <w:p w14:paraId="074AE2C1" w14:textId="4D3974FB" w:rsidR="005C4F03" w:rsidRPr="005C4F03" w:rsidRDefault="005C4F03" w:rsidP="005C4F03">
      <w:pPr>
        <w:spacing w:after="0" w:line="240" w:lineRule="auto"/>
      </w:pPr>
      <w:r>
        <w:rPr>
          <w:rFonts w:ascii="Arial" w:hAnsi="Arial" w:cs="Arial"/>
          <w:szCs w:val="22"/>
          <w:b w:val="0"/>
        </w:rPr>
        <w:t xml:space="preserve">The campaign records ten product calls, eight proxy POSTs and six upstream sends. We report proxy submissions, upstream sends, accepted jobs, bound execution lifecycles and client completion separately. An accepted job count does not measure GPU work, and backend execution success does not imply completion of the original client run.</w:t>
      </w:r>
    </w:p>
    <w:p w14:paraId="074AE2C1" w14:textId="4D3974FB" w:rsidR="005C4F03" w:rsidRPr="005C4F03" w:rsidRDefault="005C4F03" w:rsidP="005C4F03">
      <w:pPr>
        <w:spacing w:after="0" w:line="240" w:lineRule="auto"/>
      </w:pPr>
      <w:r>
        <w:rPr>
          <w:rFonts w:ascii="Arial" w:hAnsi="Arial" w:cs="Arial"/>
          <w:szCs w:val="22"/>
          <w:b w:val="1"/>
        </w:rPr>
        <w:t xml:space="preserve">Table 1. Fixed paired Windows operations</w:t>
      </w:r>
    </w:p>
    <w:tbl>
      <w:tblPr>
        <w:tblW w:w="947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Grid>
        <w:gridCol w:w="2000"/>
        <w:gridCol w:w="1100"/>
        <w:gridCol w:w="1300"/>
        <w:gridCol w:w="1350"/>
        <w:gridCol w:w="1550"/>
        <w:gridCol w:w="2178"/>
      </w:tblGrid>
      <w:tr>
        <w:trPr>
          <w:cantSplit/>
          <w:tblHeader/>
        </w:trPr>
        <w:tc>
          <w:tcPr>
            <w:tcW w:w="2000" w:type="dxa"/>
          </w:tcPr>
          <w:p w14:paraId="074AE2C1" w14:textId="4D3974FB" w:rsidR="005C4F03" w:rsidRPr="005C4F03" w:rsidRDefault="005C4F03" w:rsidP="005C4F03">
            <w:pPr/>
            <w:r>
              <w:rPr>
                <w:rFonts w:ascii="Arial" w:hAnsi="Arial" w:cs="Arial"/>
                <w:szCs w:val="22"/>
                <w:b w:val="0"/>
              </w:rPr>
              <w:t xml:space="preserve">Condition and path</w:t>
            </w:r>
          </w:p>
        </w:tc>
        <w:tc>
          <w:tcPr>
            <w:tcW w:w="1100" w:type="dxa"/>
          </w:tcPr>
          <w:p w14:paraId="074AE2C1" w14:textId="4D3974FB" w:rsidR="005C4F03" w:rsidRPr="005C4F03" w:rsidRDefault="005C4F03" w:rsidP="005C4F03">
            <w:pPr/>
            <w:r>
              <w:rPr>
                <w:rFonts w:ascii="Arial" w:hAnsi="Arial" w:cs="Arial"/>
                <w:szCs w:val="22"/>
                <w:b w:val="0"/>
              </w:rPr>
              <w:t xml:space="preserve">Proxy POSTs</w:t>
            </w:r>
          </w:p>
        </w:tc>
        <w:tc>
          <w:tcPr>
            <w:tcW w:w="1300" w:type="dxa"/>
          </w:tcPr>
          <w:p w14:paraId="074AE2C1" w14:textId="4D3974FB" w:rsidR="005C4F03" w:rsidRPr="005C4F03" w:rsidRDefault="005C4F03" w:rsidP="005C4F03">
            <w:pPr/>
            <w:r>
              <w:rPr>
                <w:rFonts w:ascii="Arial" w:hAnsi="Arial" w:cs="Arial"/>
                <w:szCs w:val="22"/>
                <w:b w:val="0"/>
              </w:rPr>
              <w:t xml:space="preserve">Upstream sends</w:t>
            </w:r>
          </w:p>
        </w:tc>
        <w:tc>
          <w:tcPr>
            <w:tcW w:w="1350" w:type="dxa"/>
          </w:tcPr>
          <w:p w14:paraId="074AE2C1" w14:textId="4D3974FB" w:rsidR="005C4F03" w:rsidRPr="005C4F03" w:rsidRDefault="005C4F03" w:rsidP="005C4F03">
            <w:pPr/>
            <w:r>
              <w:rPr>
                <w:rFonts w:ascii="Arial" w:hAnsi="Arial" w:cs="Arial"/>
                <w:szCs w:val="22"/>
                <w:b w:val="0"/>
              </w:rPr>
              <w:t xml:space="preserve">Accepted jobs</w:t>
            </w:r>
          </w:p>
        </w:tc>
        <w:tc>
          <w:tcPr>
            <w:tcW w:w="1550" w:type="dxa"/>
          </w:tcPr>
          <w:p w14:paraId="074AE2C1" w14:textId="4D3974FB" w:rsidR="005C4F03" w:rsidRPr="005C4F03" w:rsidRDefault="005C4F03" w:rsidP="005C4F03">
            <w:pPr/>
            <w:r>
              <w:rPr>
                <w:rFonts w:ascii="Arial" w:hAnsi="Arial" w:cs="Arial"/>
                <w:szCs w:val="22"/>
                <w:b w:val="0"/>
              </w:rPr>
              <w:t xml:space="preserve">Bound lifecycles</w:t>
            </w:r>
          </w:p>
        </w:tc>
        <w:tc>
          <w:tcPr>
            <w:tcW w:w="2178" w:type="dxa"/>
          </w:tcPr>
          <w:p w14:paraId="074AE2C1" w14:textId="4D3974FB" w:rsidR="005C4F03" w:rsidRPr="005C4F03" w:rsidRDefault="005C4F03" w:rsidP="005C4F03">
            <w:pPr/>
            <w:r>
              <w:rPr>
                <w:rFonts w:ascii="Arial" w:hAnsi="Arial" w:cs="Arial"/>
                <w:szCs w:val="22"/>
                <w:b w:val="0"/>
              </w:rPr>
              <w:t xml:space="preserve">Client completed</w:t>
            </w:r>
          </w:p>
        </w:tc>
      </w:tr>
      <w:tr>
        <w:trPr>
          <w:cantSplit/>
        </w:trPr>
        <w:tc>
          <w:tcPr>
            <w:tcW w:w="2000" w:type="dxa"/>
          </w:tcPr>
          <w:p w14:paraId="074AE2C1" w14:textId="4D3974FB" w:rsidR="005C4F03" w:rsidRPr="005C4F03" w:rsidRDefault="005C4F03" w:rsidP="005C4F03">
            <w:pPr/>
            <w:r>
              <w:rPr>
                <w:rFonts w:ascii="Arial" w:hAnsi="Arial" w:cs="Arial"/>
                <w:szCs w:val="22"/>
                <w:b w:val="0"/>
              </w:rPr>
              <w:t xml:space="preserve">F00 B2</w:t>
            </w:r>
          </w:p>
        </w:tc>
        <w:tc>
          <w:tcPr>
            <w:tcW w:w="1100" w:type="dxa"/>
          </w:tcPr>
          <w:p w14:paraId="074AE2C1" w14:textId="4D3974FB" w:rsidR="005C4F03" w:rsidRPr="005C4F03" w:rsidRDefault="005C4F03" w:rsidP="005C4F03">
            <w:pPr/>
            <w:r>
              <w:rPr>
                <w:rFonts w:ascii="Arial" w:hAnsi="Arial" w:cs="Arial"/>
                <w:szCs w:val="22"/>
                <w:b w:val="0"/>
              </w:rPr>
              <w:t xml:space="preserve">1</w:t>
            </w:r>
          </w:p>
        </w:tc>
        <w:tc>
          <w:tcPr>
            <w:tcW w:w="1300" w:type="dxa"/>
          </w:tcPr>
          <w:p w14:paraId="074AE2C1" w14:textId="4D3974FB" w:rsidR="005C4F03" w:rsidRPr="005C4F03" w:rsidRDefault="005C4F03" w:rsidP="005C4F03">
            <w:pPr/>
            <w:r>
              <w:rPr>
                <w:rFonts w:ascii="Arial" w:hAnsi="Arial" w:cs="Arial"/>
                <w:szCs w:val="22"/>
                <w:b w:val="0"/>
              </w:rPr>
              <w:t xml:space="preserve">1</w:t>
            </w:r>
          </w:p>
        </w:tc>
        <w:tc>
          <w:tcPr>
            <w:tcW w:w="1350" w:type="dxa"/>
          </w:tcPr>
          <w:p w14:paraId="074AE2C1" w14:textId="4D3974FB" w:rsidR="005C4F03" w:rsidRPr="005C4F03" w:rsidRDefault="005C4F03" w:rsidP="005C4F03">
            <w:pPr/>
            <w:r>
              <w:rPr>
                <w:rFonts w:ascii="Arial" w:hAnsi="Arial" w:cs="Arial"/>
                <w:szCs w:val="22"/>
                <w:b w:val="0"/>
              </w:rPr>
              <w:t xml:space="preserve">1</w:t>
            </w:r>
          </w:p>
        </w:tc>
        <w:tc>
          <w:tcPr>
            <w:tcW w:w="1550" w:type="dxa"/>
          </w:tcPr>
          <w:p w14:paraId="074AE2C1" w14:textId="4D3974FB" w:rsidR="005C4F03" w:rsidRPr="005C4F03" w:rsidRDefault="005C4F03" w:rsidP="005C4F03">
            <w:pPr/>
            <w:r>
              <w:rPr>
                <w:rFonts w:ascii="Arial" w:hAnsi="Arial" w:cs="Arial"/>
                <w:szCs w:val="22"/>
                <w:b w:val="0"/>
              </w:rPr>
              <w:t xml:space="preserve">1</w:t>
            </w:r>
          </w:p>
        </w:tc>
        <w:tc>
          <w:tcPr>
            <w:tcW w:w="2178" w:type="dxa"/>
          </w:tcPr>
          <w:p w14:paraId="074AE2C1" w14:textId="4D3974FB" w:rsidR="005C4F03" w:rsidRPr="005C4F03" w:rsidRDefault="005C4F03" w:rsidP="005C4F03">
            <w:pPr/>
            <w:r>
              <w:rPr>
                <w:rFonts w:ascii="Arial" w:hAnsi="Arial" w:cs="Arial"/>
                <w:szCs w:val="22"/>
                <w:b w:val="0"/>
              </w:rPr>
              <w:t xml:space="preserve">Yes</w:t>
            </w:r>
          </w:p>
        </w:tc>
      </w:tr>
      <w:tr>
        <w:trPr>
          <w:cantSplit/>
        </w:trPr>
        <w:tc>
          <w:tcPr>
            <w:tcW w:w="2000" w:type="dxa"/>
          </w:tcPr>
          <w:p w14:paraId="074AE2C1" w14:textId="4D3974FB" w:rsidR="005C4F03" w:rsidRPr="005C4F03" w:rsidRDefault="005C4F03" w:rsidP="005C4F03">
            <w:pPr/>
            <w:r>
              <w:rPr>
                <w:rFonts w:ascii="Arial" w:hAnsi="Arial" w:cs="Arial"/>
                <w:szCs w:val="22"/>
                <w:b w:val="0"/>
              </w:rPr>
              <w:t xml:space="preserve">F00 W3</w:t>
            </w:r>
          </w:p>
        </w:tc>
        <w:tc>
          <w:tcPr>
            <w:tcW w:w="1100" w:type="dxa"/>
          </w:tcPr>
          <w:p w14:paraId="074AE2C1" w14:textId="4D3974FB" w:rsidR="005C4F03" w:rsidRPr="005C4F03" w:rsidRDefault="005C4F03" w:rsidP="005C4F03">
            <w:pPr/>
            <w:r>
              <w:rPr>
                <w:rFonts w:ascii="Arial" w:hAnsi="Arial" w:cs="Arial"/>
                <w:szCs w:val="22"/>
                <w:b w:val="0"/>
              </w:rPr>
              <w:t xml:space="preserve">1</w:t>
            </w:r>
          </w:p>
        </w:tc>
        <w:tc>
          <w:tcPr>
            <w:tcW w:w="1300" w:type="dxa"/>
          </w:tcPr>
          <w:p w14:paraId="074AE2C1" w14:textId="4D3974FB" w:rsidR="005C4F03" w:rsidRPr="005C4F03" w:rsidRDefault="005C4F03" w:rsidP="005C4F03">
            <w:pPr/>
            <w:r>
              <w:rPr>
                <w:rFonts w:ascii="Arial" w:hAnsi="Arial" w:cs="Arial"/>
                <w:szCs w:val="22"/>
                <w:b w:val="0"/>
              </w:rPr>
              <w:t xml:space="preserve">1</w:t>
            </w:r>
          </w:p>
        </w:tc>
        <w:tc>
          <w:tcPr>
            <w:tcW w:w="1350" w:type="dxa"/>
          </w:tcPr>
          <w:p w14:paraId="074AE2C1" w14:textId="4D3974FB" w:rsidR="005C4F03" w:rsidRPr="005C4F03" w:rsidRDefault="005C4F03" w:rsidP="005C4F03">
            <w:pPr/>
            <w:r>
              <w:rPr>
                <w:rFonts w:ascii="Arial" w:hAnsi="Arial" w:cs="Arial"/>
                <w:szCs w:val="22"/>
                <w:b w:val="0"/>
              </w:rPr>
              <w:t xml:space="preserve">1</w:t>
            </w:r>
          </w:p>
        </w:tc>
        <w:tc>
          <w:tcPr>
            <w:tcW w:w="1550" w:type="dxa"/>
          </w:tcPr>
          <w:p w14:paraId="074AE2C1" w14:textId="4D3974FB" w:rsidR="005C4F03" w:rsidRPr="005C4F03" w:rsidRDefault="005C4F03" w:rsidP="005C4F03">
            <w:pPr/>
            <w:r>
              <w:rPr>
                <w:rFonts w:ascii="Arial" w:hAnsi="Arial" w:cs="Arial"/>
                <w:szCs w:val="22"/>
                <w:b w:val="0"/>
              </w:rPr>
              <w:t xml:space="preserve">1</w:t>
            </w:r>
          </w:p>
        </w:tc>
        <w:tc>
          <w:tcPr>
            <w:tcW w:w="2178" w:type="dxa"/>
          </w:tcPr>
          <w:p w14:paraId="074AE2C1" w14:textId="4D3974FB" w:rsidR="005C4F03" w:rsidRPr="005C4F03" w:rsidRDefault="005C4F03" w:rsidP="005C4F03">
            <w:pPr/>
            <w:r>
              <w:rPr>
                <w:rFonts w:ascii="Arial" w:hAnsi="Arial" w:cs="Arial"/>
                <w:szCs w:val="22"/>
                <w:b w:val="0"/>
              </w:rPr>
              <w:t xml:space="preserve">Yes</w:t>
            </w:r>
          </w:p>
        </w:tc>
      </w:tr>
      <w:tr>
        <w:trPr>
          <w:cantSplit/>
        </w:trPr>
        <w:tc>
          <w:tcPr>
            <w:tcW w:w="2000" w:type="dxa"/>
          </w:tcPr>
          <w:p w14:paraId="074AE2C1" w14:textId="4D3974FB" w:rsidR="005C4F03" w:rsidRPr="005C4F03" w:rsidRDefault="005C4F03" w:rsidP="005C4F03">
            <w:pPr/>
            <w:r>
              <w:rPr>
                <w:rFonts w:ascii="Arial" w:hAnsi="Arial" w:cs="Arial"/>
                <w:szCs w:val="22"/>
                <w:b w:val="0"/>
              </w:rPr>
              <w:t xml:space="preserve">F02 B2</w:t>
            </w:r>
          </w:p>
        </w:tc>
        <w:tc>
          <w:tcPr>
            <w:tcW w:w="1100" w:type="dxa"/>
          </w:tcPr>
          <w:p w14:paraId="074AE2C1" w14:textId="4D3974FB" w:rsidR="005C4F03" w:rsidRPr="005C4F03" w:rsidRDefault="005C4F03" w:rsidP="005C4F03">
            <w:pPr/>
            <w:r>
              <w:rPr>
                <w:rFonts w:ascii="Arial" w:hAnsi="Arial" w:cs="Arial"/>
                <w:szCs w:val="22"/>
                <w:b w:val="0"/>
              </w:rPr>
              <w:t xml:space="preserve">2</w:t>
            </w:r>
          </w:p>
        </w:tc>
        <w:tc>
          <w:tcPr>
            <w:tcW w:w="1300" w:type="dxa"/>
          </w:tcPr>
          <w:p w14:paraId="074AE2C1" w14:textId="4D3974FB" w:rsidR="005C4F03" w:rsidRPr="005C4F03" w:rsidRDefault="005C4F03" w:rsidP="005C4F03">
            <w:pPr/>
            <w:r>
              <w:rPr>
                <w:rFonts w:ascii="Arial" w:hAnsi="Arial" w:cs="Arial"/>
                <w:szCs w:val="22"/>
                <w:b w:val="0"/>
              </w:rPr>
              <w:t xml:space="preserve">2</w:t>
            </w:r>
          </w:p>
        </w:tc>
        <w:tc>
          <w:tcPr>
            <w:tcW w:w="1350" w:type="dxa"/>
          </w:tcPr>
          <w:p w14:paraId="074AE2C1" w14:textId="4D3974FB" w:rsidR="005C4F03" w:rsidRPr="005C4F03" w:rsidRDefault="005C4F03" w:rsidP="005C4F03">
            <w:pPr/>
            <w:r>
              <w:rPr>
                <w:rFonts w:ascii="Arial" w:hAnsi="Arial" w:cs="Arial"/>
                <w:szCs w:val="22"/>
                <w:b w:val="0"/>
              </w:rPr>
              <w:t xml:space="preserve">2</w:t>
            </w:r>
          </w:p>
        </w:tc>
        <w:tc>
          <w:tcPr>
            <w:tcW w:w="1550" w:type="dxa"/>
          </w:tcPr>
          <w:p w14:paraId="074AE2C1" w14:textId="4D3974FB" w:rsidR="005C4F03" w:rsidRPr="005C4F03" w:rsidRDefault="005C4F03" w:rsidP="005C4F03">
            <w:pPr/>
            <w:r>
              <w:rPr>
                <w:rFonts w:ascii="Arial" w:hAnsi="Arial" w:cs="Arial"/>
                <w:szCs w:val="22"/>
                <w:b w:val="0"/>
              </w:rPr>
              <w:t xml:space="preserve">2</w:t>
            </w:r>
          </w:p>
        </w:tc>
        <w:tc>
          <w:tcPr>
            <w:tcW w:w="2178" w:type="dxa"/>
          </w:tcPr>
          <w:p w14:paraId="074AE2C1" w14:textId="4D3974FB" w:rsidR="005C4F03" w:rsidRPr="005C4F03" w:rsidRDefault="005C4F03" w:rsidP="005C4F03">
            <w:pPr/>
            <w:r>
              <w:rPr>
                <w:rFonts w:ascii="Arial" w:hAnsi="Arial" w:cs="Arial"/>
                <w:szCs w:val="22"/>
                <w:b w:val="0"/>
              </w:rPr>
              <w:t xml:space="preserve">Yes</w:t>
            </w:r>
          </w:p>
        </w:tc>
      </w:tr>
      <w:tr>
        <w:trPr>
          <w:cantSplit/>
        </w:trPr>
        <w:tc>
          <w:tcPr>
            <w:tcW w:w="2000" w:type="dxa"/>
          </w:tcPr>
          <w:p w14:paraId="074AE2C1" w14:textId="4D3974FB" w:rsidR="005C4F03" w:rsidRPr="005C4F03" w:rsidRDefault="005C4F03" w:rsidP="005C4F03">
            <w:pPr/>
            <w:r>
              <w:rPr>
                <w:rFonts w:ascii="Arial" w:hAnsi="Arial" w:cs="Arial"/>
                <w:szCs w:val="22"/>
                <w:b w:val="0"/>
              </w:rPr>
              <w:t xml:space="preserve">F02 W3</w:t>
            </w:r>
          </w:p>
        </w:tc>
        <w:tc>
          <w:tcPr>
            <w:tcW w:w="1100" w:type="dxa"/>
          </w:tcPr>
          <w:p w14:paraId="074AE2C1" w14:textId="4D3974FB" w:rsidR="005C4F03" w:rsidRPr="005C4F03" w:rsidRDefault="005C4F03" w:rsidP="005C4F03">
            <w:pPr/>
            <w:r>
              <w:rPr>
                <w:rFonts w:ascii="Arial" w:hAnsi="Arial" w:cs="Arial"/>
                <w:szCs w:val="22"/>
                <w:b w:val="0"/>
              </w:rPr>
              <w:t xml:space="preserve">1</w:t>
            </w:r>
          </w:p>
        </w:tc>
        <w:tc>
          <w:tcPr>
            <w:tcW w:w="1300" w:type="dxa"/>
          </w:tcPr>
          <w:p w14:paraId="074AE2C1" w14:textId="4D3974FB" w:rsidR="005C4F03" w:rsidRPr="005C4F03" w:rsidRDefault="005C4F03" w:rsidP="005C4F03">
            <w:pPr/>
            <w:r>
              <w:rPr>
                <w:rFonts w:ascii="Arial" w:hAnsi="Arial" w:cs="Arial"/>
                <w:szCs w:val="22"/>
                <w:b w:val="0"/>
              </w:rPr>
              <w:t xml:space="preserve">1</w:t>
            </w:r>
          </w:p>
        </w:tc>
        <w:tc>
          <w:tcPr>
            <w:tcW w:w="1350" w:type="dxa"/>
          </w:tcPr>
          <w:p w14:paraId="074AE2C1" w14:textId="4D3974FB" w:rsidR="005C4F03" w:rsidRPr="005C4F03" w:rsidRDefault="005C4F03" w:rsidP="005C4F03">
            <w:pPr/>
            <w:r>
              <w:rPr>
                <w:rFonts w:ascii="Arial" w:hAnsi="Arial" w:cs="Arial"/>
                <w:szCs w:val="22"/>
                <w:b w:val="0"/>
              </w:rPr>
              <w:t xml:space="preserve">1</w:t>
            </w:r>
          </w:p>
        </w:tc>
        <w:tc>
          <w:tcPr>
            <w:tcW w:w="1550" w:type="dxa"/>
          </w:tcPr>
          <w:p w14:paraId="074AE2C1" w14:textId="4D3974FB" w:rsidR="005C4F03" w:rsidRPr="005C4F03" w:rsidRDefault="005C4F03" w:rsidP="005C4F03">
            <w:pPr/>
            <w:r>
              <w:rPr>
                <w:rFonts w:ascii="Arial" w:hAnsi="Arial" w:cs="Arial"/>
                <w:szCs w:val="22"/>
                <w:b w:val="0"/>
              </w:rPr>
              <w:t xml:space="preserve">1</w:t>
            </w:r>
          </w:p>
        </w:tc>
        <w:tc>
          <w:tcPr>
            <w:tcW w:w="2178" w:type="dxa"/>
          </w:tcPr>
          <w:p w14:paraId="074AE2C1" w14:textId="4D3974FB" w:rsidR="005C4F03" w:rsidRPr="005C4F03" w:rsidRDefault="005C4F03" w:rsidP="005C4F03">
            <w:pPr/>
            <w:r>
              <w:rPr>
                <w:rFonts w:ascii="Arial" w:hAnsi="Arial" w:cs="Arial"/>
                <w:szCs w:val="22"/>
                <w:b w:val="0"/>
              </w:rPr>
              <w:t xml:space="preserve">No</w:t>
            </w:r>
          </w:p>
        </w:tc>
      </w:tr>
      <w:tr>
        <w:trPr>
          <w:cantSplit/>
        </w:trPr>
        <w:tc>
          <w:tcPr>
            <w:tcW w:w="2000" w:type="dxa"/>
          </w:tcPr>
          <w:p w14:paraId="074AE2C1" w14:textId="4D3974FB" w:rsidR="005C4F03" w:rsidRPr="005C4F03" w:rsidRDefault="005C4F03" w:rsidP="005C4F03">
            <w:pPr/>
            <w:r>
              <w:rPr>
                <w:rFonts w:ascii="Arial" w:hAnsi="Arial" w:cs="Arial"/>
                <w:szCs w:val="22"/>
                <w:b w:val="0"/>
              </w:rPr>
              <w:t xml:space="preserve">FPRE B2</w:t>
            </w:r>
          </w:p>
        </w:tc>
        <w:tc>
          <w:tcPr>
            <w:tcW w:w="1100" w:type="dxa"/>
          </w:tcPr>
          <w:p w14:paraId="074AE2C1" w14:textId="4D3974FB" w:rsidR="005C4F03" w:rsidRPr="005C4F03" w:rsidRDefault="005C4F03" w:rsidP="005C4F03">
            <w:pPr/>
            <w:r>
              <w:rPr>
                <w:rFonts w:ascii="Arial" w:hAnsi="Arial" w:cs="Arial"/>
                <w:szCs w:val="22"/>
                <w:b w:val="0"/>
              </w:rPr>
              <w:t xml:space="preserve">2</w:t>
            </w:r>
          </w:p>
        </w:tc>
        <w:tc>
          <w:tcPr>
            <w:tcW w:w="1300" w:type="dxa"/>
          </w:tcPr>
          <w:p w14:paraId="074AE2C1" w14:textId="4D3974FB" w:rsidR="005C4F03" w:rsidRPr="005C4F03" w:rsidRDefault="005C4F03" w:rsidP="005C4F03">
            <w:pPr/>
            <w:r>
              <w:rPr>
                <w:rFonts w:ascii="Arial" w:hAnsi="Arial" w:cs="Arial"/>
                <w:szCs w:val="22"/>
                <w:b w:val="0"/>
              </w:rPr>
              <w:t xml:space="preserve">1</w:t>
            </w:r>
          </w:p>
        </w:tc>
        <w:tc>
          <w:tcPr>
            <w:tcW w:w="1350" w:type="dxa"/>
          </w:tcPr>
          <w:p w14:paraId="074AE2C1" w14:textId="4D3974FB" w:rsidR="005C4F03" w:rsidRPr="005C4F03" w:rsidRDefault="005C4F03" w:rsidP="005C4F03">
            <w:pPr/>
            <w:r>
              <w:rPr>
                <w:rFonts w:ascii="Arial" w:hAnsi="Arial" w:cs="Arial"/>
                <w:szCs w:val="22"/>
                <w:b w:val="0"/>
              </w:rPr>
              <w:t xml:space="preserve">1</w:t>
            </w:r>
          </w:p>
        </w:tc>
        <w:tc>
          <w:tcPr>
            <w:tcW w:w="1550" w:type="dxa"/>
          </w:tcPr>
          <w:p w14:paraId="074AE2C1" w14:textId="4D3974FB" w:rsidR="005C4F03" w:rsidRPr="005C4F03" w:rsidRDefault="005C4F03" w:rsidP="005C4F03">
            <w:pPr/>
            <w:r>
              <w:rPr>
                <w:rFonts w:ascii="Arial" w:hAnsi="Arial" w:cs="Arial"/>
                <w:szCs w:val="22"/>
                <w:b w:val="0"/>
              </w:rPr>
              <w:t xml:space="preserve">1</w:t>
            </w:r>
          </w:p>
        </w:tc>
        <w:tc>
          <w:tcPr>
            <w:tcW w:w="2178" w:type="dxa"/>
          </w:tcPr>
          <w:p w14:paraId="074AE2C1" w14:textId="4D3974FB" w:rsidR="005C4F03" w:rsidRPr="005C4F03" w:rsidRDefault="005C4F03" w:rsidP="005C4F03">
            <w:pPr/>
            <w:r>
              <w:rPr>
                <w:rFonts w:ascii="Arial" w:hAnsi="Arial" w:cs="Arial"/>
                <w:szCs w:val="22"/>
                <w:b w:val="0"/>
              </w:rPr>
              <w:t xml:space="preserve">Yes</w:t>
            </w:r>
          </w:p>
        </w:tc>
      </w:tr>
      <w:tr>
        <w:trPr>
          <w:cantSplit/>
        </w:trPr>
        <w:tc>
          <w:tcPr>
            <w:tcW w:w="2000" w:type="dxa"/>
          </w:tcPr>
          <w:p w14:paraId="074AE2C1" w14:textId="4D3974FB" w:rsidR="005C4F03" w:rsidRPr="005C4F03" w:rsidRDefault="005C4F03" w:rsidP="005C4F03">
            <w:pPr/>
            <w:r>
              <w:rPr>
                <w:rFonts w:ascii="Arial" w:hAnsi="Arial" w:cs="Arial"/>
                <w:szCs w:val="22"/>
                <w:b w:val="0"/>
              </w:rPr>
              <w:t xml:space="preserve">FPRE W3</w:t>
            </w:r>
          </w:p>
        </w:tc>
        <w:tc>
          <w:tcPr>
            <w:tcW w:w="1100" w:type="dxa"/>
          </w:tcPr>
          <w:p w14:paraId="074AE2C1" w14:textId="4D3974FB" w:rsidR="005C4F03" w:rsidRPr="005C4F03" w:rsidRDefault="005C4F03" w:rsidP="005C4F03">
            <w:pPr/>
            <w:r>
              <w:rPr>
                <w:rFonts w:ascii="Arial" w:hAnsi="Arial" w:cs="Arial"/>
                <w:szCs w:val="22"/>
                <w:b w:val="0"/>
              </w:rPr>
              <w:t xml:space="preserve">1</w:t>
            </w:r>
          </w:p>
        </w:tc>
        <w:tc>
          <w:tcPr>
            <w:tcW w:w="1300" w:type="dxa"/>
          </w:tcPr>
          <w:p w14:paraId="074AE2C1" w14:textId="4D3974FB" w:rsidR="005C4F03" w:rsidRPr="005C4F03" w:rsidRDefault="005C4F03" w:rsidP="005C4F03">
            <w:pPr/>
            <w:r>
              <w:rPr>
                <w:rFonts w:ascii="Arial" w:hAnsi="Arial" w:cs="Arial"/>
                <w:szCs w:val="22"/>
                <w:b w:val="0"/>
              </w:rPr>
              <w:t xml:space="preserve">0</w:t>
            </w:r>
          </w:p>
        </w:tc>
        <w:tc>
          <w:tcPr>
            <w:tcW w:w="1350" w:type="dxa"/>
          </w:tcPr>
          <w:p w14:paraId="074AE2C1" w14:textId="4D3974FB" w:rsidR="005C4F03" w:rsidRPr="005C4F03" w:rsidRDefault="005C4F03" w:rsidP="005C4F03">
            <w:pPr/>
            <w:r>
              <w:rPr>
                <w:rFonts w:ascii="Arial" w:hAnsi="Arial" w:cs="Arial"/>
                <w:szCs w:val="22"/>
                <w:b w:val="0"/>
              </w:rPr>
              <w:t xml:space="preserve">0</w:t>
            </w:r>
          </w:p>
        </w:tc>
        <w:tc>
          <w:tcPr>
            <w:tcW w:w="1550" w:type="dxa"/>
          </w:tcPr>
          <w:p w14:paraId="074AE2C1" w14:textId="4D3974FB" w:rsidR="005C4F03" w:rsidRPr="005C4F03" w:rsidRDefault="005C4F03" w:rsidP="005C4F03">
            <w:pPr/>
            <w:r>
              <w:rPr>
                <w:rFonts w:ascii="Arial" w:hAnsi="Arial" w:cs="Arial"/>
                <w:szCs w:val="22"/>
                <w:b w:val="0"/>
              </w:rPr>
              <w:t xml:space="preserve">0</w:t>
            </w:r>
          </w:p>
        </w:tc>
        <w:tc>
          <w:tcPr>
            <w:tcW w:w="2178" w:type="dxa"/>
          </w:tcPr>
          <w:p w14:paraId="074AE2C1" w14:textId="4D3974FB" w:rsidR="005C4F03" w:rsidRPr="005C4F03" w:rsidRDefault="005C4F03" w:rsidP="005C4F03">
            <w:pPr/>
            <w:r>
              <w:rPr>
                <w:rFonts w:ascii="Arial" w:hAnsi="Arial" w:cs="Arial"/>
                <w:szCs w:val="22"/>
                <w:b w:val="0"/>
              </w:rPr>
              <w:t xml:space="preserve">No</w:t>
            </w:r>
          </w:p>
        </w:tc>
      </w:tr>
    </w:tbl>
    <w:p w14:paraId="074AE2C1" w14:textId="4D3974FB" w:rsidR="005C4F03" w:rsidRPr="005C4F03" w:rsidRDefault="005C4F03" w:rsidP="005C4F03">
      <w:pPr>
        <w:spacing w:after="0" w:line="240" w:lineRule="auto"/>
      </w:pPr>
      <w:r>
        <w:rPr>
          <w:rFonts w:ascii="Arial" w:hAnsi="Arial" w:cs="Arial"/>
          <w:szCs w:val="22"/>
          <w:b w:val="0"/>
        </w:rPr>
        <w:t xml:space="preserve">The table reproduces the tracked paired-windows-projection-v1 record. Its checker verifies derived rows and totals; it does not authenticate execution or reconstruct the private raw capture.</w:t>
      </w:r>
    </w:p>
    <w:p w14:paraId="62FE8705" w14:textId="3B3D771E" w:rsidR="008E3FC5" w:rsidRDefault="00657B03" w:rsidP="001E3522">
      <w:pPr>
        <w:pStyle w:val="Heading1"/>
        <w:spacing w:before="0" w:line="240" w:lineRule="auto"/>
      </w:pPr>
      <w:r>
        <w:rPr>
          <w:rFonts w:ascii="Arial" w:eastAsia="Calibri" w:hAnsi="Arial" w:cs="Arial"/>
          <w:sz w:val="22"/>
          <w:szCs w:val="22"/>
          <w:b w:val="1"/>
        </w:rPr>
        <w:t xml:space="preserve">Accepted response loss and false blocking</w:t>
      </w:r>
    </w:p>
    <w:p w14:paraId="074AE2C1" w14:textId="4D3974FB" w:rsidR="005C4F03" w:rsidRPr="005C4F03" w:rsidRDefault="005C4F03" w:rsidP="005C4F03">
      <w:pPr>
        <w:spacing w:after="0" w:line="240" w:lineRule="auto"/>
      </w:pPr>
      <w:r>
        <w:rPr>
          <w:rFonts w:ascii="Arial" w:hAnsi="Arial" w:cs="Arial"/>
          <w:szCs w:val="22"/>
          <w:b w:val="0"/>
        </w:rPr>
        <w:t xml:space="preserve">In F02, B2 produces two accepted jobs with two bound execution lifecycles and completes the client operation. W3 retains one accepted job and one lifecycle, but leaves its original run unresolved even though backend completion is observed. This illustrates submission withholding together with a completion cost. It is not evidence of successful reconciliation.</w:t>
      </w:r>
    </w:p>
    <w:p w14:paraId="074AE2C1" w14:textId="4D3974FB" w:rsidR="005C4F03" w:rsidRPr="005C4F03" w:rsidRDefault="005C4F03" w:rsidP="005C4F03">
      <w:pPr>
        <w:spacing w:after="0" w:line="240" w:lineRule="auto"/>
      </w:pPr>
      <w:r>
        <w:rPr>
          <w:rFonts w:ascii="Arial" w:hAnsi="Arial" w:cs="Arial"/>
          <w:szCs w:val="22"/>
          <w:b w:val="0"/>
        </w:rPr>
        <w:t xml:space="preserve">The second B2 F02 lifecycle reports cached nodes 3 through 9. The retained aggregate progress events do not assign a measured amount of GPU computation to that lifecycle. Therefore, two accepted jobs must not be described as twice the computation, and withholding the second submission must not be described as measured GPU savings.</w:t>
      </w:r>
    </w:p>
    <w:p w14:paraId="074AE2C1" w14:textId="4D3974FB" w:rsidR="005C4F03" w:rsidRPr="005C4F03" w:rsidRDefault="005C4F03" w:rsidP="005C4F03">
      <w:pPr>
        <w:spacing w:after="0" w:line="240" w:lineRule="auto"/>
      </w:pPr>
      <w:r>
        <w:rPr>
          <w:rFonts w:ascii="Arial" w:hAnsi="Arial" w:cs="Arial"/>
          <w:szCs w:val="22"/>
          <w:b w:val="0"/>
        </w:rPr>
        <w:t xml:space="preserve">FPRE is the negative example. B2 eventually sends one upstream request and completes. W3 sends none and remains unresolved. The guard has blocked an operation whose first attempt did not reach the backend. This false block shows the consequence of recording an uncertain outcome without enough information to determine whether sending occurred.</w:t>
      </w:r>
    </w:p>
    <w:p w14:paraId="074AE2C1" w14:textId="4D3974FB" w:rsidR="005C4F03" w:rsidRPr="005C4F03" w:rsidRDefault="005C4F03" w:rsidP="005C4F03">
      <w:pPr>
        <w:spacing w:after="0" w:line="240" w:lineRule="auto"/>
      </w:pPr>
      <w:r>
        <w:rPr>
          <w:rFonts w:ascii="Arial" w:hAnsi="Arial" w:cs="Arial"/>
          <w:szCs w:val="22"/>
          <w:b w:val="0"/>
        </w:rPr>
        <w:t xml:space="preserve">A synthetic CPU stop-after-unknown control matches W3 on the reported F00, F02 and FPRE counts and completion outcomes. This equality is restricted to those fields, not all run-state details, and is not another Windows execution result. It limits any claim of policy superiority. The six Windows operations are fixed examples, with no repeated randomized campaign or population-level failure-rate estimate.</w:t>
      </w:r>
    </w:p>
    <w:p w14:paraId="62FE8705" w14:textId="3B3D771E" w:rsidR="008E3FC5" w:rsidRDefault="00657B03" w:rsidP="001E3522">
      <w:pPr>
        <w:pStyle w:val="Heading1"/>
        <w:spacing w:before="0" w:line="240" w:lineRule="auto"/>
      </w:pPr>
      <w:r>
        <w:rPr>
          <w:rFonts w:ascii="Arial" w:eastAsia="Calibri" w:hAnsi="Arial" w:cs="Arial"/>
          <w:sz w:val="22"/>
          <w:szCs w:val="22"/>
          <w:b w:val="1"/>
        </w:rPr>
        <w:t xml:space="preserve">Software validation boundaries</w:t>
      </w:r>
    </w:p>
    <w:p w14:paraId="074AE2C1" w14:textId="4D3974FB" w:rsidR="005C4F03" w:rsidRPr="005C4F03" w:rsidRDefault="005C4F03" w:rsidP="005C4F03">
      <w:pPr>
        <w:spacing w:after="0" w:line="240" w:lineRule="auto"/>
      </w:pPr>
      <w:r>
        <w:rPr>
          <w:rFonts w:ascii="Arial" w:hAnsi="Arial" w:cs="Arial"/>
          <w:szCs w:val="22"/>
          <w:b w:val="0"/>
        </w:rPr>
        <w:t xml:space="preserve">The supported CI matrix passed on GitHub-hosted Windows and Ubuntu runners for Python 3.11 and 3.12 at revision caaa2e0, run 37090919543. These runners are separate from the author's physical Windows computer. CI is model-free software validation and does not establish endpoint, GPU or named-client generation health. At source snapshot dfc8378, the research suite again passed 96 tests under Python 3.12 using python -m unittest discover -s tests/research -q with Pillow installed. An isolated wheel built from the same snapshot passed local-gpu-imagegen verify, reporting seventeen tools. The revision-v012-runtime-check.json receipt, introduced at 01c5e33 and retained in the snapshot, records a different thirteen-test offline subset under Python 3.13.15; it is not the current 96-test suite. The later manuscript-material revision abb363992469c23eae354f2374af32ffc8c6b1ad contains the commands and scopes at https://github.com/ChevalGrand520/local-gpu-imagegen/blob/abb363992469c23eae354f2374af32ffc8c6b1ad/paper-softwarex/VALIDATION_20261004.md . That revision is separate from the software snapshot.</w:t>
      </w:r>
    </w:p>
    <w:p w14:paraId="074AE2C1" w14:textId="4D3974FB" w:rsidR="005C4F03" w:rsidRPr="005C4F03" w:rsidRDefault="005C4F03" w:rsidP="005C4F03">
      <w:pPr>
        <w:spacing w:after="0" w:line="240" w:lineRule="auto"/>
      </w:pPr>
      <w:r>
        <w:rPr>
          <w:rFonts w:ascii="Arial" w:hAnsi="Arial" w:cs="Arial"/>
          <w:szCs w:val="22"/>
          <w:b w:val="0"/>
        </w:rPr>
        <w:t xml:space="preserve">A macOS Python 3.12 full-suite attempt still reported thirty failures and five errors, with forty skips across 1,274 tests. The distribution identifies Windows as its product platform. Successful wheel/interface checks on the Mac must not be expanded into a macOS support or production-readiness claim. No new GPU run was performed to prepare this manuscript.</w:t>
      </w:r>
    </w:p>
    <w:p w14:paraId="50F2D018" w14:textId="77948274" w:rsidR="0003483D" w:rsidRPr="00FC6B88" w:rsidRDefault="00657B03" w:rsidP="001E3522">
      <w:pPr>
        <w:pStyle w:val="Heading1"/>
        <w:numPr>
          <w:ilvl w:val="0"/>
          <w:numId w:val="1"/>
        </w:numPr>
        <w:spacing w:after="0" w:line="240" w:lineRule="auto"/>
        <w:ind w:hanging="359"/>
        <w:contextualSpacing/>
      </w:pPr>
      <w:r>
        <w:rPr>
          <w:rFonts w:ascii="Arial" w:hAnsi="Arial" w:cs="Arial"/>
          <w:szCs w:val="22"/>
          <w:b w:val="1"/>
        </w:rPr>
        <w:t xml:space="preserve">Impact</w:t>
      </w:r>
    </w:p>
    <w:p w14:paraId="074AE2C1" w14:textId="4D3974FB" w:rsidR="005C4F03" w:rsidRPr="005C4F03" w:rsidRDefault="005C4F03" w:rsidP="005C4F03">
      <w:pPr>
        <w:spacing w:after="0" w:line="240" w:lineRule="auto"/>
      </w:pPr>
      <w:r>
        <w:rPr>
          <w:rFonts w:ascii="Arial" w:hAnsi="Arial" w:cs="Arial"/>
          <w:szCs w:val="22"/>
          <w:b w:val="0"/>
        </w:rPr>
        <w:t xml:space="preserve">The software makes an incomplete generation operation inspectable through a retained manifest and a client-facing retrieval tool. A researcher can read the confirmed route, distinguish an unresolved submission from a generated or finalized image, and check the six derived rows without loading a model. These functions provide a concrete inspection workflow for the recorded cases; we have not measured changes in external users' daily practice.</w:t>
      </w:r>
    </w:p>
    <w:p w14:paraId="074AE2C1" w14:textId="4D3974FB" w:rsidR="005C4F03" w:rsidRPr="005C4F03" w:rsidRDefault="005C4F03" w:rsidP="005C4F03">
      <w:pPr>
        <w:spacing w:after="0" w:line="240" w:lineRule="auto"/>
      </w:pPr>
      <w:r>
        <w:rPr>
          <w:rFonts w:ascii="Arial" w:hAnsi="Arial" w:cs="Arial"/>
          <w:szCs w:val="22"/>
          <w:b w:val="0"/>
        </w:rPr>
        <w:t xml:space="preserve">The accompanying source-based checks keep accepted-job counts, execution lifecycles and client completion separate. This supports asking whether withholding another submission preserves completion, and whether a repeated accepted job actually incurs additional computation. The fixed examples answer the first question negatively for F02 and FPRE and leave the second unmeasured because of caching. This is an implemented measurement and inspection capability, not evidence of downstream scientific output, widespread adoption or commercial use.</w:t>
      </w:r>
    </w:p>
    <w:p w14:paraId="074AE2C1" w14:textId="4D3974FB" w:rsidR="005C4F03" w:rsidRPr="005C4F03" w:rsidRDefault="005C4F03" w:rsidP="005C4F03">
      <w:pPr>
        <w:spacing w:after="0" w:line="240" w:lineRule="auto"/>
      </w:pPr>
      <w:r>
        <w:rPr>
          <w:rFonts w:ascii="Arial" w:hAnsi="Arial" w:cs="Arial"/>
          <w:szCs w:val="22"/>
          <w:b w:val="0"/>
        </w:rPr>
        <w:t xml:space="preserve">The present evidence does not quantify external reuse, user time savings, independent audit effort, image quality, performance, VRAM usage or general reliability. The examples also do not show that withholding improves eventual completion. Backend acceptance semantics and caching matter: a request count alone is insufficient to infer image-generation cost. Broader efficacy claims would require a separately designed experiment and an appropriate comparison.</w:t>
      </w:r>
    </w:p>
    <w:p w14:paraId="074AE2C1" w14:textId="4D3974FB" w:rsidR="005C4F03" w:rsidRPr="005C4F03" w:rsidRDefault="005C4F03" w:rsidP="005C4F03">
      <w:pPr>
        <w:spacing w:after="0" w:line="240" w:lineRule="auto"/>
      </w:pPr>
      <w:r>
        <w:rPr>
          <w:rFonts w:ascii="Arial" w:hAnsi="Arial" w:cs="Arial"/>
          <w:szCs w:val="22"/>
          <w:b w:val="0"/>
        </w:rPr>
        <w:t xml:space="preserve">The raw paired capture is private. It contains configuration, source snapshots, logs and images beyond the derived public record. An author-side consistency audit is not independent execution authentication. A private sanitized prototype preserves the derived rows and selected semantic relations, but is not yet a released or complete raw-data replacement. Reproducibility claims must remain at the level supported by the distributed software and derived checks.</w:t>
      </w:r>
    </w:p>
    <w:p w14:paraId="6077F737" w14:textId="77777777" w:rsidR="0003483D" w:rsidRPr="00FC6B88" w:rsidRDefault="00657B03" w:rsidP="001E3522">
      <w:pPr>
        <w:pStyle w:val="Heading1"/>
        <w:numPr>
          <w:ilvl w:val="0"/>
          <w:numId w:val="1"/>
        </w:numPr>
        <w:spacing w:before="0" w:line="240" w:lineRule="auto"/>
        <w:ind w:hanging="359"/>
        <w:contextualSpacing/>
      </w:pPr>
      <w:r>
        <w:rPr>
          <w:rFonts w:ascii="Arial" w:eastAsia="Calibri" w:hAnsi="Arial" w:cs="Arial"/>
          <w:sz w:val="22"/>
          <w:szCs w:val="22"/>
          <w:b w:val="1"/>
        </w:rPr>
        <w:t xml:space="preserve">Conclusions</w:t>
      </w:r>
    </w:p>
    <w:p w14:paraId="074AE2C1" w14:textId="4D3974FB" w:rsidR="005C4F03" w:rsidRPr="005C4F03" w:rsidRDefault="005C4F03" w:rsidP="005C4F03">
      <w:pPr>
        <w:spacing w:after="0" w:line="240" w:lineRule="auto"/>
      </w:pPr>
      <w:r>
        <w:rPr>
          <w:rFonts w:ascii="Arial" w:hAnsi="Arial" w:cs="Arial"/>
          <w:szCs w:val="22"/>
          <w:b w:val="0"/>
        </w:rPr>
        <w:t xml:space="preserve">Local GPU Imagegen integrates an MCP interface, local backend adapters and durable run records. Its fixed ComfyUI examples make the tradeoff between withholding uncertain submissions and completing client operations inspectable. The accepted-response-loss pair retains fewer accepted jobs under the guard, while the pre-send pair exposes a false block. Equal simple-stop and parser controls constrain the contribution to a software integration and bounded characterization. The source distribution and derived checks enable inspection, with explicit limits on backend execution reproduction and unsupported platform claims.</w:t>
      </w:r>
    </w:p>
    <w:p w14:paraId="62FE8705" w14:textId="3B3D771E" w:rsidR="008E3FC5" w:rsidRDefault="00657B03" w:rsidP="001E3522">
      <w:pPr>
        <w:pStyle w:val="Heading1"/>
        <w:spacing w:before="0" w:line="240" w:lineRule="auto"/>
      </w:pPr>
      <w:r>
        <w:rPr>
          <w:rFonts w:ascii="Arial" w:eastAsia="Calibri" w:hAnsi="Arial" w:cs="Arial"/>
          <w:sz w:val="22"/>
          <w:szCs w:val="22"/>
          <w:b w:val="1"/>
        </w:rPr>
        <w:t xml:space="preserve">Code and data availability</w:t>
      </w:r>
    </w:p>
    <w:p w14:paraId="074AE2C1" w14:textId="4D3974FB" w:rsidR="005C4F03" w:rsidRPr="005C4F03" w:rsidRDefault="005C4F03" w:rsidP="005C4F03">
      <w:pPr>
        <w:spacing w:after="0" w:line="240" w:lineRule="auto"/>
      </w:pPr>
      <w:r>
        <w:rPr>
          <w:rFonts w:ascii="Arial" w:hAnsi="Arial" w:cs="Arial"/>
          <w:szCs w:val="22"/>
          <w:b w:val="0"/>
        </w:rPr>
        <w:t xml:space="preserve">The cited software snapshot is https://github.com/ChevalGrand520/local-gpu-imagegen/tree/dfc8378cb3d891f7951786bc4544cd971bd56a11, with package version 0.9.1, MIT LICENSE and identical Licence.txt. This explicit snapshot is separate from the repository's default branch and historical PyPI artifact. The earlier paired experiment uses source revision 08539d5. The derived paired record and checker are in paper/evidence/paired-windows-projection-20261001.json and paper/scripts/verify_paired_projection.py. The exporter and checker are source-checkout supplements. The original paired raw archive and private sanitized prototype are unavailable for third-party recomputation. No archival DOI is claimed.</w:t>
      </w:r>
    </w:p>
    <w:p w14:paraId="62FE8705" w14:textId="3B3D771E" w:rsidR="008E3FC5" w:rsidRDefault="00657B03" w:rsidP="001E3522">
      <w:pPr>
        <w:pStyle w:val="Heading1"/>
        <w:spacing w:before="0" w:line="240" w:lineRule="auto"/>
      </w:pPr>
      <w:r>
        <w:rPr>
          <w:rFonts w:ascii="Arial" w:eastAsia="Calibri" w:hAnsi="Arial" w:cs="Arial"/>
          <w:sz w:val="22"/>
          <w:szCs w:val="22"/>
          <w:b w:val="1"/>
        </w:rPr>
        <w:t xml:space="preserve">Declaration of generative AI assistance</w:t>
      </w:r>
    </w:p>
    <w:p w14:paraId="074AE2C1" w14:textId="4D3974FB" w:rsidR="005C4F03" w:rsidRPr="005C4F03" w:rsidRDefault="005C4F03" w:rsidP="005C4F03">
      <w:pPr>
        <w:spacing w:after="0" w:line="240" w:lineRule="auto"/>
      </w:pPr>
      <w:r>
        <w:rPr>
          <w:rFonts w:ascii="Arial" w:hAnsi="Arial" w:cs="Arial"/>
          <w:szCs w:val="22"/>
          <w:b w:val="0"/>
        </w:rPr>
        <w:t xml:space="preserve">OpenAI Codex assisted with language refinement, experimental code prototyping, and cross-checking of author records. The author reviewed and revised the resulting materials and takes full responsibility for the manuscript.</w:t>
      </w:r>
    </w:p>
    <w:p w14:paraId="62FE8705" w14:textId="3B3D771E" w:rsidR="008E3FC5" w:rsidRDefault="00657B03" w:rsidP="001E3522">
      <w:pPr>
        <w:pStyle w:val="Heading1"/>
        <w:spacing w:before="0" w:line="240" w:lineRule="auto"/>
      </w:pPr>
      <w:r>
        <w:rPr>
          <w:rFonts w:ascii="Arial" w:eastAsia="Calibri" w:hAnsi="Arial" w:cs="Arial"/>
          <w:sz w:val="22"/>
          <w:szCs w:val="22"/>
          <w:b w:val="1"/>
        </w:rPr>
        <w:t xml:space="preserve">References</w:t>
      </w:r>
    </w:p>
    <w:p w14:paraId="074AE2C1" w14:textId="4D3974FB" w:rsidR="005C4F03" w:rsidRPr="005C4F03" w:rsidRDefault="005C4F03" w:rsidP="005C4F03">
      <w:pPr>
        <w:spacing w:after="0" w:line="240" w:lineRule="auto"/>
      </w:pPr>
      <w:r>
        <w:rPr>
          <w:rFonts w:ascii="Arial" w:hAnsi="Arial" w:cs="Arial"/>
          <w:szCs w:val="22"/>
          <w:b w:val="0"/>
        </w:rPr>
        <w:t xml:space="preserve">[1] Birrell AD, Nelson BJ. Implementing Remote Procedure Calls. ACM Transactions on Computer Systems. 1984;2(1):39–59. https://www.cs.cmu.edu/~15712/papers/birrell84.pdf</w:t>
      </w:r>
    </w:p>
    <w:p w14:paraId="074AE2C1" w14:textId="4D3974FB" w:rsidR="005C4F03" w:rsidRPr="005C4F03" w:rsidRDefault="005C4F03" w:rsidP="005C4F03">
      <w:pPr>
        <w:spacing w:after="0" w:line="240" w:lineRule="auto"/>
      </w:pPr>
      <w:r>
        <w:rPr>
          <w:rFonts w:ascii="Arial" w:hAnsi="Arial" w:cs="Arial"/>
          <w:szCs w:val="22"/>
          <w:b w:val="0"/>
        </w:rPr>
        <w:t xml:space="preserve">[2] Featonby M. Making retries safe with idempotent APIs. Amazon Builders' Library. https://aws.amazon.com/builders-library/making-retries-safe-with-idempotent-APIs/</w:t>
      </w:r>
    </w:p>
    <w:p w14:paraId="074AE2C1" w14:textId="4D3974FB" w:rsidR="005C4F03" w:rsidRPr="005C4F03" w:rsidRDefault="005C4F03" w:rsidP="005C4F03">
      <w:pPr>
        <w:spacing w:after="0" w:line="240" w:lineRule="auto"/>
      </w:pPr>
      <w:r>
        <w:rPr>
          <w:rFonts w:ascii="Arial" w:hAnsi="Arial" w:cs="Arial"/>
          <w:szCs w:val="22"/>
          <w:b w:val="0"/>
        </w:rPr>
        <w:t xml:space="preserve">[3] Li J. Where Does Exactly-Once Live? Model, Harness, and Tool-Contract Effects on Duplicate Side Effects in LLM Agents. arXiv:2609.29095v1. 2026. https://arxiv.org/abs/2609.29095v1</w:t>
      </w:r>
    </w:p>
    <w:sectPr w:rsidR="00B40A22" w:rsidRPr="00883C55" w:rsidSect="00D6575B">
      <w:headerReference w:type="even" r:id="rId18"/>
      <w:headerReference w:type="default" r:id="rId19"/>
      <w:footerReference w:type="even" r:id="rId20"/>
      <w:footerReference w:type="default" r:id="rId21"/>
      <w:headerReference w:type="first" r:id="rId22"/>
      <w:footerReference w:type="first" r:id="rId23"/>
      <w:pgSz w:w="12240" w:h="15840"/>
      <w:pgMar w:top="1440" w:right="1440" w:bottom="1440" w:left="1440" w:header="720" w:footer="720" w:gutter="0"/>
      <w:lnNumType w:countBy="1" w:restart="continuou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BEE141" w14:textId="77777777" w:rsidR="00D53AC3" w:rsidRDefault="00D53AC3" w:rsidP="00AB5093">
      <w:pPr>
        <w:spacing w:after="0" w:line="240" w:lineRule="auto"/>
      </w:pPr>
      <w:r>
        <w:separator/>
      </w:r>
    </w:p>
  </w:endnote>
  <w:endnote w:type="continuationSeparator" w:id="0">
    <w:p w14:paraId="3775C13D" w14:textId="77777777" w:rsidR="00D53AC3" w:rsidRDefault="00D53AC3" w:rsidP="00AB50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Unicode MS">
    <w:altName w:val="Yu Gothic"/>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A956B" w14:textId="77777777" w:rsidR="00FE615A" w:rsidRDefault="00FE615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8014338"/>
      <w:docPartObj>
        <w:docPartGallery w:val="Page Numbers (Bottom of Page)"/>
        <w:docPartUnique/>
      </w:docPartObj>
    </w:sdtPr>
    <w:sdtEndPr>
      <w:rPr>
        <w:noProof/>
      </w:rPr>
    </w:sdtEndPr>
    <w:sdtContent>
      <w:p w14:paraId="1E3910BF" w14:textId="77777777" w:rsidR="00870D55" w:rsidRDefault="00870D55">
        <w:pPr>
          <w:pStyle w:val="Footer"/>
          <w:jc w:val="center"/>
        </w:pPr>
        <w:r>
          <w:fldChar w:fldCharType="begin"/>
        </w:r>
        <w:r>
          <w:instrText xml:space="preserve"> PAGE   \* MERGEFORMAT </w:instrText>
        </w:r>
        <w:r>
          <w:fldChar w:fldCharType="separate"/>
        </w:r>
        <w:r>
          <w:rPr>
            <w:noProof/>
          </w:rPr>
          <w:t>3</w:t>
        </w:r>
        <w:r>
          <w:rPr>
            <w:noProof/>
          </w:rPr>
          <w:fldChar w:fldCharType="end"/>
        </w:r>
      </w:p>
    </w:sdtContent>
  </w:sdt>
  <w:p w14:paraId="0E442DA8" w14:textId="77777777" w:rsidR="00870D55" w:rsidRDefault="00870D5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B3208" w14:textId="77777777" w:rsidR="00FE615A" w:rsidRDefault="00FE61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2269F0" w14:textId="77777777" w:rsidR="00D53AC3" w:rsidRDefault="00D53AC3" w:rsidP="00AB5093">
      <w:pPr>
        <w:spacing w:after="0" w:line="240" w:lineRule="auto"/>
      </w:pPr>
      <w:r>
        <w:separator/>
      </w:r>
    </w:p>
  </w:footnote>
  <w:footnote w:type="continuationSeparator" w:id="0">
    <w:p w14:paraId="34C72557" w14:textId="77777777" w:rsidR="00D53AC3" w:rsidRDefault="00D53AC3" w:rsidP="00AB50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6B311" w14:textId="77777777" w:rsidR="00FE615A" w:rsidRDefault="00FE615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76E17" w14:textId="77777777" w:rsidR="00FE615A" w:rsidRDefault="00FE615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BE21E" w14:textId="77777777" w:rsidR="00FE615A" w:rsidRDefault="00FE615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56017"/>
    <w:multiLevelType w:val="hybridMultilevel"/>
    <w:tmpl w:val="B79C92FC"/>
    <w:lvl w:ilvl="0" w:tplc="9C365B08">
      <w:start w:val="28"/>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B2E02F0"/>
    <w:multiLevelType w:val="hybridMultilevel"/>
    <w:tmpl w:val="B4B28AF6"/>
    <w:lvl w:ilvl="0" w:tplc="0216600A">
      <w:numFmt w:val="bullet"/>
      <w:lvlText w:val=""/>
      <w:lvlJc w:val="left"/>
      <w:pPr>
        <w:ind w:left="720" w:hanging="360"/>
      </w:pPr>
      <w:rPr>
        <w:rFonts w:ascii="Symbol" w:hAnsi="Symbol" w:cs="Calibri" w:hint="default"/>
        <w:b w:val="0"/>
        <w:bCs w:val="0"/>
        <w:i w:val="0"/>
        <w:iCs w:val="0"/>
        <w:caps w:val="0"/>
        <w:smallCaps w:val="0"/>
        <w:strike w:val="0"/>
        <w:dstrike w:val="0"/>
        <w:color w:val="000000" w:themeColor="text1"/>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4718DD7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ABFA1838">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9DD6CB52">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A8961CD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4CE422C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11C64FA2">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6522455C">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3BE07DF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 w15:restartNumberingAfterBreak="0">
    <w:nsid w:val="22EF753A"/>
    <w:multiLevelType w:val="hybridMultilevel"/>
    <w:tmpl w:val="9960A7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87E13A8"/>
    <w:multiLevelType w:val="multilevel"/>
    <w:tmpl w:val="AAC849C0"/>
    <w:lvl w:ilvl="0">
      <w:start w:val="1"/>
      <w:numFmt w:val="bullet"/>
      <w:lvlText w:val="●"/>
      <w:lvlJc w:val="left"/>
      <w:pPr>
        <w:ind w:left="360" w:firstLine="0"/>
      </w:pPr>
      <w:rPr>
        <w:rFonts w:ascii="Arial" w:eastAsia="Arial" w:hAnsi="Arial" w:cs="Arial"/>
      </w:rPr>
    </w:lvl>
    <w:lvl w:ilvl="1">
      <w:start w:val="1"/>
      <w:numFmt w:val="decimal"/>
      <w:lvlText w:val="●.%2."/>
      <w:lvlJc w:val="left"/>
      <w:pPr>
        <w:ind w:left="792" w:firstLine="360"/>
      </w:pPr>
    </w:lvl>
    <w:lvl w:ilvl="2">
      <w:start w:val="1"/>
      <w:numFmt w:val="decimal"/>
      <w:lvlText w:val="●.%2.%3."/>
      <w:lvlJc w:val="left"/>
      <w:pPr>
        <w:ind w:left="1224" w:firstLine="720"/>
      </w:pPr>
    </w:lvl>
    <w:lvl w:ilvl="3">
      <w:start w:val="1"/>
      <w:numFmt w:val="decimal"/>
      <w:lvlText w:val="●.%2.%3.%4."/>
      <w:lvlJc w:val="left"/>
      <w:pPr>
        <w:ind w:left="1728" w:firstLine="1080"/>
      </w:pPr>
    </w:lvl>
    <w:lvl w:ilvl="4">
      <w:start w:val="1"/>
      <w:numFmt w:val="decimal"/>
      <w:lvlText w:val="●.%2.%3.%4.%5."/>
      <w:lvlJc w:val="left"/>
      <w:pPr>
        <w:ind w:left="2232" w:firstLine="1440"/>
      </w:pPr>
    </w:lvl>
    <w:lvl w:ilvl="5">
      <w:start w:val="1"/>
      <w:numFmt w:val="decimal"/>
      <w:lvlText w:val="●.%2.%3.%4.%5.%6."/>
      <w:lvlJc w:val="left"/>
      <w:pPr>
        <w:ind w:left="2736" w:firstLine="1800"/>
      </w:pPr>
    </w:lvl>
    <w:lvl w:ilvl="6">
      <w:start w:val="1"/>
      <w:numFmt w:val="decimal"/>
      <w:lvlText w:val="●.%2.%3.%4.%5.%6.%7."/>
      <w:lvlJc w:val="left"/>
      <w:pPr>
        <w:ind w:left="3240" w:firstLine="2160"/>
      </w:pPr>
    </w:lvl>
    <w:lvl w:ilvl="7">
      <w:start w:val="1"/>
      <w:numFmt w:val="decimal"/>
      <w:lvlText w:val="●.%2.%3.%4.%5.%6.%7.%8."/>
      <w:lvlJc w:val="left"/>
      <w:pPr>
        <w:ind w:left="3744" w:firstLine="2520"/>
      </w:pPr>
    </w:lvl>
    <w:lvl w:ilvl="8">
      <w:start w:val="1"/>
      <w:numFmt w:val="decimal"/>
      <w:lvlText w:val="●.%2.%3.%4.%5.%6.%7.%8.%9."/>
      <w:lvlJc w:val="left"/>
      <w:pPr>
        <w:ind w:left="4320" w:firstLine="2880"/>
      </w:pPr>
    </w:lvl>
  </w:abstractNum>
  <w:abstractNum w:abstractNumId="4" w15:restartNumberingAfterBreak="0">
    <w:nsid w:val="3B0C0AE7"/>
    <w:multiLevelType w:val="multilevel"/>
    <w:tmpl w:val="DE2616B4"/>
    <w:lvl w:ilvl="0">
      <w:start w:val="1"/>
      <w:numFmt w:val="bullet"/>
      <w:lvlText w:val="●"/>
      <w:lvlJc w:val="left"/>
      <w:pPr>
        <w:ind w:left="360" w:firstLine="0"/>
      </w:pPr>
      <w:rPr>
        <w:rFonts w:ascii="Arial" w:eastAsia="Arial" w:hAnsi="Arial" w:cs="Arial"/>
      </w:rPr>
    </w:lvl>
    <w:lvl w:ilvl="1">
      <w:start w:val="1"/>
      <w:numFmt w:val="decimal"/>
      <w:lvlText w:val="●.%2."/>
      <w:lvlJc w:val="left"/>
      <w:pPr>
        <w:ind w:left="792" w:firstLine="360"/>
      </w:pPr>
    </w:lvl>
    <w:lvl w:ilvl="2">
      <w:start w:val="1"/>
      <w:numFmt w:val="decimal"/>
      <w:lvlText w:val="●.%2.%3."/>
      <w:lvlJc w:val="left"/>
      <w:pPr>
        <w:ind w:left="1224" w:firstLine="720"/>
      </w:pPr>
    </w:lvl>
    <w:lvl w:ilvl="3">
      <w:start w:val="1"/>
      <w:numFmt w:val="decimal"/>
      <w:lvlText w:val="●.%2.%3.%4."/>
      <w:lvlJc w:val="left"/>
      <w:pPr>
        <w:ind w:left="1728" w:firstLine="1080"/>
      </w:pPr>
    </w:lvl>
    <w:lvl w:ilvl="4">
      <w:start w:val="1"/>
      <w:numFmt w:val="decimal"/>
      <w:lvlText w:val="●.%2.%3.%4.%5."/>
      <w:lvlJc w:val="left"/>
      <w:pPr>
        <w:ind w:left="2232" w:firstLine="1440"/>
      </w:pPr>
    </w:lvl>
    <w:lvl w:ilvl="5">
      <w:start w:val="1"/>
      <w:numFmt w:val="decimal"/>
      <w:lvlText w:val="●.%2.%3.%4.%5.%6."/>
      <w:lvlJc w:val="left"/>
      <w:pPr>
        <w:ind w:left="2736" w:firstLine="1800"/>
      </w:pPr>
    </w:lvl>
    <w:lvl w:ilvl="6">
      <w:start w:val="1"/>
      <w:numFmt w:val="decimal"/>
      <w:lvlText w:val="●.%2.%3.%4.%5.%6.%7."/>
      <w:lvlJc w:val="left"/>
      <w:pPr>
        <w:ind w:left="3240" w:firstLine="2160"/>
      </w:pPr>
    </w:lvl>
    <w:lvl w:ilvl="7">
      <w:start w:val="1"/>
      <w:numFmt w:val="decimal"/>
      <w:lvlText w:val="●.%2.%3.%4.%5.%6.%7.%8."/>
      <w:lvlJc w:val="left"/>
      <w:pPr>
        <w:ind w:left="3744" w:firstLine="2520"/>
      </w:pPr>
    </w:lvl>
    <w:lvl w:ilvl="8">
      <w:start w:val="1"/>
      <w:numFmt w:val="decimal"/>
      <w:lvlText w:val="●.%2.%3.%4.%5.%6.%7.%8.%9."/>
      <w:lvlJc w:val="left"/>
      <w:pPr>
        <w:ind w:left="4320" w:firstLine="2880"/>
      </w:pPr>
    </w:lvl>
  </w:abstractNum>
  <w:abstractNum w:abstractNumId="5" w15:restartNumberingAfterBreak="0">
    <w:nsid w:val="4CB16586"/>
    <w:multiLevelType w:val="hybridMultilevel"/>
    <w:tmpl w:val="E23A7A74"/>
    <w:lvl w:ilvl="0" w:tplc="CB62E536">
      <w:numFmt w:val="bullet"/>
      <w:lvlText w:val=""/>
      <w:lvlJc w:val="left"/>
      <w:pPr>
        <w:ind w:left="720" w:hanging="360"/>
      </w:pPr>
      <w:rPr>
        <w:rFonts w:ascii="Symbol" w:eastAsiaTheme="minorHAnsi" w:hAnsi="Symbol"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563B578A"/>
    <w:multiLevelType w:val="hybridMultilevel"/>
    <w:tmpl w:val="2E7CA2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E25763A"/>
    <w:multiLevelType w:val="multilevel"/>
    <w:tmpl w:val="A99A24B4"/>
    <w:lvl w:ilvl="0">
      <w:start w:val="1"/>
      <w:numFmt w:val="bullet"/>
      <w:lvlText w:val="●"/>
      <w:lvlJc w:val="left"/>
      <w:pPr>
        <w:ind w:left="360" w:firstLine="0"/>
      </w:pPr>
      <w:rPr>
        <w:rFonts w:ascii="Arial" w:eastAsia="Arial" w:hAnsi="Arial" w:cs="Arial"/>
      </w:rPr>
    </w:lvl>
    <w:lvl w:ilvl="1">
      <w:start w:val="1"/>
      <w:numFmt w:val="decimal"/>
      <w:lvlText w:val="●.%2."/>
      <w:lvlJc w:val="left"/>
      <w:pPr>
        <w:ind w:left="792" w:firstLine="360"/>
      </w:pPr>
    </w:lvl>
    <w:lvl w:ilvl="2">
      <w:start w:val="1"/>
      <w:numFmt w:val="decimal"/>
      <w:lvlText w:val="●.%2.%3."/>
      <w:lvlJc w:val="left"/>
      <w:pPr>
        <w:ind w:left="1224" w:firstLine="720"/>
      </w:pPr>
    </w:lvl>
    <w:lvl w:ilvl="3">
      <w:start w:val="1"/>
      <w:numFmt w:val="decimal"/>
      <w:lvlText w:val="●.%2.%3.%4."/>
      <w:lvlJc w:val="left"/>
      <w:pPr>
        <w:ind w:left="1728" w:firstLine="1080"/>
      </w:pPr>
    </w:lvl>
    <w:lvl w:ilvl="4">
      <w:start w:val="1"/>
      <w:numFmt w:val="decimal"/>
      <w:lvlText w:val="●.%2.%3.%4.%5."/>
      <w:lvlJc w:val="left"/>
      <w:pPr>
        <w:ind w:left="2232" w:firstLine="1440"/>
      </w:pPr>
    </w:lvl>
    <w:lvl w:ilvl="5">
      <w:start w:val="1"/>
      <w:numFmt w:val="decimal"/>
      <w:lvlText w:val="●.%2.%3.%4.%5.%6."/>
      <w:lvlJc w:val="left"/>
      <w:pPr>
        <w:ind w:left="2736" w:firstLine="1800"/>
      </w:pPr>
    </w:lvl>
    <w:lvl w:ilvl="6">
      <w:start w:val="1"/>
      <w:numFmt w:val="decimal"/>
      <w:lvlText w:val="●.%2.%3.%4.%5.%6.%7."/>
      <w:lvlJc w:val="left"/>
      <w:pPr>
        <w:ind w:left="3240" w:firstLine="2160"/>
      </w:pPr>
    </w:lvl>
    <w:lvl w:ilvl="7">
      <w:start w:val="1"/>
      <w:numFmt w:val="decimal"/>
      <w:lvlText w:val="●.%2.%3.%4.%5.%6.%7.%8."/>
      <w:lvlJc w:val="left"/>
      <w:pPr>
        <w:ind w:left="3744" w:firstLine="2520"/>
      </w:pPr>
    </w:lvl>
    <w:lvl w:ilvl="8">
      <w:start w:val="1"/>
      <w:numFmt w:val="decimal"/>
      <w:lvlText w:val="●.%2.%3.%4.%5.%6.%7.%8.%9."/>
      <w:lvlJc w:val="left"/>
      <w:pPr>
        <w:ind w:left="4320" w:firstLine="2880"/>
      </w:pPr>
    </w:lvl>
  </w:abstractNum>
  <w:abstractNum w:abstractNumId="8" w15:restartNumberingAfterBreak="0">
    <w:nsid w:val="5EF36196"/>
    <w:multiLevelType w:val="hybridMultilevel"/>
    <w:tmpl w:val="24624A32"/>
    <w:lvl w:ilvl="0" w:tplc="0809000B">
      <w:start w:val="1"/>
      <w:numFmt w:val="bullet"/>
      <w:lvlText w:val=""/>
      <w:lvlJc w:val="left"/>
      <w:pPr>
        <w:ind w:left="720" w:hanging="360"/>
      </w:pPr>
      <w:rPr>
        <w:rFonts w:ascii="Wingdings" w:hAnsi="Wingdings" w:hint="default"/>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4718DD7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ABFA1838">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9DD6CB52">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A8961CD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4CE422C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11C64FA2">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6522455C">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3BE07DF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9" w15:restartNumberingAfterBreak="0">
    <w:nsid w:val="6BEF10D3"/>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6D00737D"/>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70B940C7"/>
    <w:multiLevelType w:val="hybridMultilevel"/>
    <w:tmpl w:val="A5E6F12E"/>
    <w:lvl w:ilvl="0" w:tplc="5830B950">
      <w:start w:val="1"/>
      <w:numFmt w:val="decimal"/>
      <w:lvlText w:val="%1."/>
      <w:lvlJc w:val="left"/>
      <w:pPr>
        <w:ind w:left="774" w:hanging="360"/>
      </w:pPr>
      <w:rPr>
        <w:rFonts w:ascii="Calibri" w:hAnsi="Calibri" w:hint="default"/>
        <w:b w:val="0"/>
        <w:i w:val="0"/>
        <w:color w:val="auto"/>
        <w:sz w:val="22"/>
      </w:rPr>
    </w:lvl>
    <w:lvl w:ilvl="1" w:tplc="20000019" w:tentative="1">
      <w:start w:val="1"/>
      <w:numFmt w:val="lowerLetter"/>
      <w:lvlText w:val="%2."/>
      <w:lvlJc w:val="left"/>
      <w:pPr>
        <w:ind w:left="1494" w:hanging="360"/>
      </w:pPr>
    </w:lvl>
    <w:lvl w:ilvl="2" w:tplc="2000001B" w:tentative="1">
      <w:start w:val="1"/>
      <w:numFmt w:val="lowerRoman"/>
      <w:lvlText w:val="%3."/>
      <w:lvlJc w:val="right"/>
      <w:pPr>
        <w:ind w:left="2214" w:hanging="180"/>
      </w:pPr>
    </w:lvl>
    <w:lvl w:ilvl="3" w:tplc="2000000F" w:tentative="1">
      <w:start w:val="1"/>
      <w:numFmt w:val="decimal"/>
      <w:lvlText w:val="%4."/>
      <w:lvlJc w:val="left"/>
      <w:pPr>
        <w:ind w:left="2934" w:hanging="360"/>
      </w:pPr>
    </w:lvl>
    <w:lvl w:ilvl="4" w:tplc="20000019" w:tentative="1">
      <w:start w:val="1"/>
      <w:numFmt w:val="lowerLetter"/>
      <w:lvlText w:val="%5."/>
      <w:lvlJc w:val="left"/>
      <w:pPr>
        <w:ind w:left="3654" w:hanging="360"/>
      </w:pPr>
    </w:lvl>
    <w:lvl w:ilvl="5" w:tplc="2000001B" w:tentative="1">
      <w:start w:val="1"/>
      <w:numFmt w:val="lowerRoman"/>
      <w:lvlText w:val="%6."/>
      <w:lvlJc w:val="right"/>
      <w:pPr>
        <w:ind w:left="4374" w:hanging="180"/>
      </w:pPr>
    </w:lvl>
    <w:lvl w:ilvl="6" w:tplc="2000000F" w:tentative="1">
      <w:start w:val="1"/>
      <w:numFmt w:val="decimal"/>
      <w:lvlText w:val="%7."/>
      <w:lvlJc w:val="left"/>
      <w:pPr>
        <w:ind w:left="5094" w:hanging="360"/>
      </w:pPr>
    </w:lvl>
    <w:lvl w:ilvl="7" w:tplc="20000019" w:tentative="1">
      <w:start w:val="1"/>
      <w:numFmt w:val="lowerLetter"/>
      <w:lvlText w:val="%8."/>
      <w:lvlJc w:val="left"/>
      <w:pPr>
        <w:ind w:left="5814" w:hanging="360"/>
      </w:pPr>
    </w:lvl>
    <w:lvl w:ilvl="8" w:tplc="2000001B" w:tentative="1">
      <w:start w:val="1"/>
      <w:numFmt w:val="lowerRoman"/>
      <w:lvlText w:val="%9."/>
      <w:lvlJc w:val="right"/>
      <w:pPr>
        <w:ind w:left="6534" w:hanging="180"/>
      </w:pPr>
    </w:lvl>
  </w:abstractNum>
  <w:abstractNum w:abstractNumId="12" w15:restartNumberingAfterBreak="0">
    <w:nsid w:val="75045A23"/>
    <w:multiLevelType w:val="hybridMultilevel"/>
    <w:tmpl w:val="1E60B3C2"/>
    <w:lvl w:ilvl="0" w:tplc="1A244374">
      <w:start w:val="28"/>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54365CA"/>
    <w:multiLevelType w:val="multilevel"/>
    <w:tmpl w:val="A46AFCC4"/>
    <w:lvl w:ilvl="0">
      <w:start w:val="1"/>
      <w:numFmt w:val="decimal"/>
      <w:lvlText w:val="%1."/>
      <w:lvlJc w:val="left"/>
      <w:pPr>
        <w:ind w:left="360" w:firstLine="0"/>
      </w:pPr>
    </w:lvl>
    <w:lvl w:ilvl="1">
      <w:start w:val="1"/>
      <w:numFmt w:val="decimal"/>
      <w:lvlText w:val="%1.%2."/>
      <w:lvlJc w:val="left"/>
      <w:pPr>
        <w:ind w:left="792" w:firstLine="360"/>
      </w:pPr>
    </w:lvl>
    <w:lvl w:ilvl="2">
      <w:start w:val="1"/>
      <w:numFmt w:val="decimal"/>
      <w:lvlText w:val="%1.%2.%3."/>
      <w:lvlJc w:val="left"/>
      <w:pPr>
        <w:ind w:left="1224" w:firstLine="720"/>
      </w:pPr>
    </w:lvl>
    <w:lvl w:ilvl="3">
      <w:start w:val="1"/>
      <w:numFmt w:val="decimal"/>
      <w:lvlText w:val="%1.%2.%3.%4."/>
      <w:lvlJc w:val="left"/>
      <w:pPr>
        <w:ind w:left="1728" w:firstLine="1080"/>
      </w:pPr>
    </w:lvl>
    <w:lvl w:ilvl="4">
      <w:start w:val="1"/>
      <w:numFmt w:val="decimal"/>
      <w:lvlText w:val="%1.%2.%3.%4.%5."/>
      <w:lvlJc w:val="left"/>
      <w:pPr>
        <w:ind w:left="2232" w:firstLine="1440"/>
      </w:pPr>
    </w:lvl>
    <w:lvl w:ilvl="5">
      <w:start w:val="1"/>
      <w:numFmt w:val="decimal"/>
      <w:lvlText w:val="%1.%2.%3.%4.%5.%6."/>
      <w:lvlJc w:val="left"/>
      <w:pPr>
        <w:ind w:left="2736" w:firstLine="1800"/>
      </w:pPr>
    </w:lvl>
    <w:lvl w:ilvl="6">
      <w:start w:val="1"/>
      <w:numFmt w:val="decimal"/>
      <w:lvlText w:val="%1.%2.%3.%4.%5.%6.%7."/>
      <w:lvlJc w:val="left"/>
      <w:pPr>
        <w:ind w:left="3240" w:firstLine="2160"/>
      </w:pPr>
    </w:lvl>
    <w:lvl w:ilvl="7">
      <w:start w:val="1"/>
      <w:numFmt w:val="decimal"/>
      <w:lvlText w:val="%1.%2.%3.%4.%5.%6.%7.%8."/>
      <w:lvlJc w:val="left"/>
      <w:pPr>
        <w:ind w:left="3744" w:firstLine="2520"/>
      </w:pPr>
    </w:lvl>
    <w:lvl w:ilvl="8">
      <w:start w:val="1"/>
      <w:numFmt w:val="decimal"/>
      <w:lvlText w:val="%1.%2.%3.%4.%5.%6.%7.%8.%9."/>
      <w:lvlJc w:val="left"/>
      <w:pPr>
        <w:ind w:left="4320" w:firstLine="2880"/>
      </w:pPr>
    </w:lvl>
  </w:abstractNum>
  <w:abstractNum w:abstractNumId="14" w15:restartNumberingAfterBreak="0">
    <w:nsid w:val="7F2A3952"/>
    <w:multiLevelType w:val="hybridMultilevel"/>
    <w:tmpl w:val="6D5CE3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23627706">
    <w:abstractNumId w:val="13"/>
  </w:num>
  <w:num w:numId="2" w16cid:durableId="1999461690">
    <w:abstractNumId w:val="4"/>
  </w:num>
  <w:num w:numId="3" w16cid:durableId="1897162489">
    <w:abstractNumId w:val="3"/>
  </w:num>
  <w:num w:numId="4" w16cid:durableId="1686514444">
    <w:abstractNumId w:val="7"/>
  </w:num>
  <w:num w:numId="5" w16cid:durableId="212230829">
    <w:abstractNumId w:val="6"/>
  </w:num>
  <w:num w:numId="6" w16cid:durableId="1011375410">
    <w:abstractNumId w:val="14"/>
  </w:num>
  <w:num w:numId="7" w16cid:durableId="751269685">
    <w:abstractNumId w:val="12"/>
  </w:num>
  <w:num w:numId="8" w16cid:durableId="345865658">
    <w:abstractNumId w:val="0"/>
  </w:num>
  <w:num w:numId="9" w16cid:durableId="102573670">
    <w:abstractNumId w:val="1"/>
  </w:num>
  <w:num w:numId="10" w16cid:durableId="1794521271">
    <w:abstractNumId w:val="11"/>
  </w:num>
  <w:num w:numId="11" w16cid:durableId="2017076232">
    <w:abstractNumId w:val="5"/>
  </w:num>
  <w:num w:numId="12" w16cid:durableId="35546227">
    <w:abstractNumId w:val="8"/>
  </w:num>
  <w:num w:numId="13" w16cid:durableId="535430727">
    <w:abstractNumId w:val="2"/>
  </w:num>
  <w:num w:numId="14" w16cid:durableId="386802509">
    <w:abstractNumId w:val="9"/>
  </w:num>
  <w:num w:numId="15" w16cid:durableId="20009558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483D"/>
    <w:rsid w:val="000161BE"/>
    <w:rsid w:val="00027B16"/>
    <w:rsid w:val="00030571"/>
    <w:rsid w:val="0003483D"/>
    <w:rsid w:val="000369CA"/>
    <w:rsid w:val="00054FA6"/>
    <w:rsid w:val="00097534"/>
    <w:rsid w:val="000C09B8"/>
    <w:rsid w:val="000C5BBC"/>
    <w:rsid w:val="000C6151"/>
    <w:rsid w:val="0012427A"/>
    <w:rsid w:val="00125E70"/>
    <w:rsid w:val="0014017D"/>
    <w:rsid w:val="00151B5A"/>
    <w:rsid w:val="001972E6"/>
    <w:rsid w:val="001C07AF"/>
    <w:rsid w:val="001E3522"/>
    <w:rsid w:val="001E633E"/>
    <w:rsid w:val="00276BFF"/>
    <w:rsid w:val="00283600"/>
    <w:rsid w:val="002A7C78"/>
    <w:rsid w:val="002B7866"/>
    <w:rsid w:val="002C3C8F"/>
    <w:rsid w:val="002C7DC9"/>
    <w:rsid w:val="002E406B"/>
    <w:rsid w:val="002F1E10"/>
    <w:rsid w:val="0030041B"/>
    <w:rsid w:val="00313A36"/>
    <w:rsid w:val="00342191"/>
    <w:rsid w:val="00356BEC"/>
    <w:rsid w:val="00370332"/>
    <w:rsid w:val="003804CD"/>
    <w:rsid w:val="00383284"/>
    <w:rsid w:val="003B2748"/>
    <w:rsid w:val="003B4D9B"/>
    <w:rsid w:val="003B7432"/>
    <w:rsid w:val="003D08D4"/>
    <w:rsid w:val="003D6136"/>
    <w:rsid w:val="003E19D6"/>
    <w:rsid w:val="003E7274"/>
    <w:rsid w:val="004051DE"/>
    <w:rsid w:val="00486F03"/>
    <w:rsid w:val="00495DE3"/>
    <w:rsid w:val="004A24C8"/>
    <w:rsid w:val="004B6E22"/>
    <w:rsid w:val="004C3682"/>
    <w:rsid w:val="004D2308"/>
    <w:rsid w:val="004E2FA5"/>
    <w:rsid w:val="00532322"/>
    <w:rsid w:val="00541E7D"/>
    <w:rsid w:val="00563A0B"/>
    <w:rsid w:val="0056454B"/>
    <w:rsid w:val="0057428A"/>
    <w:rsid w:val="00582E7E"/>
    <w:rsid w:val="00586C67"/>
    <w:rsid w:val="0059138E"/>
    <w:rsid w:val="005B5D90"/>
    <w:rsid w:val="005C4F03"/>
    <w:rsid w:val="005F0B17"/>
    <w:rsid w:val="00653AC5"/>
    <w:rsid w:val="00657B03"/>
    <w:rsid w:val="00657BC9"/>
    <w:rsid w:val="006B6223"/>
    <w:rsid w:val="006B7704"/>
    <w:rsid w:val="006C136B"/>
    <w:rsid w:val="006F0B96"/>
    <w:rsid w:val="00705BAB"/>
    <w:rsid w:val="007526E3"/>
    <w:rsid w:val="0079770B"/>
    <w:rsid w:val="007A0305"/>
    <w:rsid w:val="007A2F35"/>
    <w:rsid w:val="007A5754"/>
    <w:rsid w:val="007B1531"/>
    <w:rsid w:val="007D4E77"/>
    <w:rsid w:val="007D5B5E"/>
    <w:rsid w:val="00804309"/>
    <w:rsid w:val="008264DE"/>
    <w:rsid w:val="00830072"/>
    <w:rsid w:val="008345AF"/>
    <w:rsid w:val="00852F6B"/>
    <w:rsid w:val="00862129"/>
    <w:rsid w:val="00864E23"/>
    <w:rsid w:val="00870D55"/>
    <w:rsid w:val="00876C0A"/>
    <w:rsid w:val="00881534"/>
    <w:rsid w:val="00883C55"/>
    <w:rsid w:val="008941E0"/>
    <w:rsid w:val="008B083B"/>
    <w:rsid w:val="008E3FC5"/>
    <w:rsid w:val="008F38E0"/>
    <w:rsid w:val="009014B4"/>
    <w:rsid w:val="00927C4D"/>
    <w:rsid w:val="009434A7"/>
    <w:rsid w:val="00976A1C"/>
    <w:rsid w:val="0098116E"/>
    <w:rsid w:val="009B279E"/>
    <w:rsid w:val="009C1B13"/>
    <w:rsid w:val="009C765C"/>
    <w:rsid w:val="00A15F71"/>
    <w:rsid w:val="00A202E8"/>
    <w:rsid w:val="00A31866"/>
    <w:rsid w:val="00A36DAC"/>
    <w:rsid w:val="00A43006"/>
    <w:rsid w:val="00A45D84"/>
    <w:rsid w:val="00A46948"/>
    <w:rsid w:val="00A51119"/>
    <w:rsid w:val="00A76685"/>
    <w:rsid w:val="00A80EB1"/>
    <w:rsid w:val="00A97BBA"/>
    <w:rsid w:val="00A97D71"/>
    <w:rsid w:val="00AB5093"/>
    <w:rsid w:val="00AC64DD"/>
    <w:rsid w:val="00AD0AD8"/>
    <w:rsid w:val="00B030A9"/>
    <w:rsid w:val="00B05E7A"/>
    <w:rsid w:val="00B119E5"/>
    <w:rsid w:val="00B40A22"/>
    <w:rsid w:val="00B47DF4"/>
    <w:rsid w:val="00B80047"/>
    <w:rsid w:val="00B8795C"/>
    <w:rsid w:val="00B97E6E"/>
    <w:rsid w:val="00BA3D04"/>
    <w:rsid w:val="00BA6FA1"/>
    <w:rsid w:val="00BB3F8B"/>
    <w:rsid w:val="00BC74C3"/>
    <w:rsid w:val="00BD6C94"/>
    <w:rsid w:val="00BF11B2"/>
    <w:rsid w:val="00C11150"/>
    <w:rsid w:val="00C14245"/>
    <w:rsid w:val="00C35B86"/>
    <w:rsid w:val="00C41F60"/>
    <w:rsid w:val="00C74DC6"/>
    <w:rsid w:val="00CC784D"/>
    <w:rsid w:val="00CE059D"/>
    <w:rsid w:val="00CE19F0"/>
    <w:rsid w:val="00CE3620"/>
    <w:rsid w:val="00CF54CB"/>
    <w:rsid w:val="00D45277"/>
    <w:rsid w:val="00D53AC3"/>
    <w:rsid w:val="00D64224"/>
    <w:rsid w:val="00D6575B"/>
    <w:rsid w:val="00D82B72"/>
    <w:rsid w:val="00DB7A01"/>
    <w:rsid w:val="00DD6313"/>
    <w:rsid w:val="00DD67E2"/>
    <w:rsid w:val="00DE2B25"/>
    <w:rsid w:val="00E4682C"/>
    <w:rsid w:val="00E71895"/>
    <w:rsid w:val="00EE6A0C"/>
    <w:rsid w:val="00F07FA3"/>
    <w:rsid w:val="00F24B55"/>
    <w:rsid w:val="00F316C1"/>
    <w:rsid w:val="00F47A9F"/>
    <w:rsid w:val="00F55829"/>
    <w:rsid w:val="00F90F06"/>
    <w:rsid w:val="00F95C39"/>
    <w:rsid w:val="00FC4EE1"/>
    <w:rsid w:val="00FC6B88"/>
    <w:rsid w:val="00FD02E3"/>
    <w:rsid w:val="00FE615A"/>
    <w:rsid w:val="00FE651A"/>
    <w:rsid w:val="00FF4CFD"/>
    <w:rsid w:val="00FF6914"/>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94D542"/>
  <w15:docId w15:val="{34AC7C4D-3230-42DC-8E1B-D1087A5C68C9}"/>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sz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pPr>
      <w:keepNext/>
      <w:keepLines/>
      <w:spacing w:before="480" w:after="0"/>
      <w:outlineLvl w:val="0"/>
    </w:pPr>
    <w:rPr>
      <w:rFonts w:ascii="Cambria" w:eastAsia="Cambria" w:hAnsi="Cambria" w:cs="Cambria"/>
      <w:b/>
      <w:sz w:val="28"/>
    </w:rPr>
  </w:style>
  <w:style w:type="paragraph" w:styleId="Heading2">
    <w:name w:val="heading 2"/>
    <w:basedOn w:val="Normal"/>
    <w:next w:val="Normal"/>
    <w:pPr>
      <w:keepNext/>
      <w:keepLines/>
      <w:spacing w:before="200" w:after="0"/>
      <w:outlineLvl w:val="1"/>
    </w:pPr>
    <w:rPr>
      <w:rFonts w:ascii="Cambria" w:eastAsia="Cambria" w:hAnsi="Cambria" w:cs="Cambria"/>
      <w:b/>
      <w:sz w:val="26"/>
    </w:rPr>
  </w:style>
  <w:style w:type="paragraph" w:styleId="Heading3">
    <w:name w:val="heading 3"/>
    <w:basedOn w:val="Normal"/>
    <w:next w:val="Normal"/>
    <w:pPr>
      <w:keepNext/>
      <w:keepLines/>
      <w:spacing w:before="200" w:after="0" w:line="271" w:lineRule="auto"/>
      <w:outlineLvl w:val="2"/>
    </w:pPr>
    <w:rPr>
      <w:rFonts w:ascii="Cambria" w:eastAsia="Cambria" w:hAnsi="Cambria" w:cs="Cambria"/>
      <w:b/>
    </w:rPr>
  </w:style>
  <w:style w:type="paragraph" w:styleId="Heading4">
    <w:name w:val="heading 4"/>
    <w:basedOn w:val="Normal"/>
    <w:next w:val="Normal"/>
    <w:pPr>
      <w:keepNext/>
      <w:keepLines/>
      <w:spacing w:before="200" w:after="0"/>
      <w:outlineLvl w:val="3"/>
    </w:pPr>
    <w:rPr>
      <w:rFonts w:ascii="Cambria" w:eastAsia="Cambria" w:hAnsi="Cambria" w:cs="Cambria"/>
      <w:b/>
      <w:i/>
    </w:rPr>
  </w:style>
  <w:style w:type="paragraph" w:styleId="Heading5">
    <w:name w:val="heading 5"/>
    <w:basedOn w:val="Normal"/>
    <w:next w:val="Normal"/>
    <w:pPr>
      <w:keepNext/>
      <w:keepLines/>
      <w:spacing w:before="200" w:after="0"/>
      <w:outlineLvl w:val="4"/>
    </w:pPr>
    <w:rPr>
      <w:rFonts w:ascii="Cambria" w:eastAsia="Cambria" w:hAnsi="Cambria" w:cs="Cambria"/>
      <w:b/>
    </w:rPr>
  </w:style>
  <w:style w:type="paragraph" w:styleId="Heading6">
    <w:name w:val="heading 6"/>
    <w:basedOn w:val="Normal"/>
    <w:next w:val="Normal"/>
    <w:pPr>
      <w:keepNext/>
      <w:keepLines/>
      <w:spacing w:after="0" w:line="271" w:lineRule="auto"/>
      <w:outlineLvl w:val="5"/>
    </w:pPr>
    <w:rPr>
      <w:rFonts w:ascii="Cambria" w:eastAsia="Cambria" w:hAnsi="Cambria" w:cs="Cambria"/>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line="240" w:lineRule="auto"/>
    </w:pPr>
    <w:rPr>
      <w:rFonts w:ascii="Cambria" w:eastAsia="Cambria" w:hAnsi="Cambria" w:cs="Cambria"/>
      <w:sz w:val="52"/>
    </w:rPr>
  </w:style>
  <w:style w:type="paragraph" w:styleId="Subtitle">
    <w:name w:val="Subtitle"/>
    <w:basedOn w:val="Normal"/>
    <w:next w:val="Normal"/>
    <w:pPr>
      <w:keepNext/>
      <w:keepLines/>
      <w:spacing w:after="600"/>
    </w:pPr>
    <w:rPr>
      <w:rFonts w:ascii="Cambria" w:eastAsia="Cambria" w:hAnsi="Cambria" w:cs="Cambria"/>
      <w:i/>
      <w:color w:val="666666"/>
      <w:sz w:val="24"/>
    </w:rPr>
  </w:style>
  <w:style w:type="table" w:customStyle="1" w:styleId="a">
    <w:basedOn w:val="TableNormal"/>
    <w:pPr>
      <w:spacing w:after="0" w:line="240" w:lineRule="auto"/>
    </w:pPr>
    <w:tblPr>
      <w:tblStyleRowBandSize w:val="1"/>
      <w:tblStyleColBandSize w:val="1"/>
      <w:tblCellMar>
        <w:left w:w="115" w:type="dxa"/>
        <w:right w:w="115" w:type="dxa"/>
      </w:tblCellMar>
    </w:tblPr>
  </w:style>
  <w:style w:type="table" w:customStyle="1" w:styleId="a0">
    <w:basedOn w:val="TableNormal"/>
    <w:pPr>
      <w:spacing w:after="0" w:line="240" w:lineRule="auto"/>
    </w:pPr>
    <w:tblPr>
      <w:tblStyleRowBandSize w:val="1"/>
      <w:tblStyleColBandSize w:val="1"/>
      <w:tblCellMar>
        <w:left w:w="115" w:type="dxa"/>
        <w:right w:w="115" w:type="dxa"/>
      </w:tblCellMar>
    </w:tblPr>
  </w:style>
  <w:style w:type="character" w:styleId="LineNumber">
    <w:name w:val="line number"/>
    <w:basedOn w:val="DefaultParagraphFont"/>
    <w:uiPriority w:val="99"/>
    <w:semiHidden/>
    <w:unhideWhenUsed/>
    <w:rsid w:val="00AB5093"/>
  </w:style>
  <w:style w:type="paragraph" w:styleId="Header">
    <w:name w:val="header"/>
    <w:basedOn w:val="Normal"/>
    <w:link w:val="HeaderChar"/>
    <w:uiPriority w:val="99"/>
    <w:unhideWhenUsed/>
    <w:rsid w:val="00AB5093"/>
    <w:pPr>
      <w:tabs>
        <w:tab w:val="center" w:pos="4513"/>
        <w:tab w:val="right" w:pos="9026"/>
      </w:tabs>
      <w:spacing w:after="0" w:line="240" w:lineRule="auto"/>
    </w:pPr>
  </w:style>
  <w:style w:type="character" w:customStyle="1" w:styleId="HeaderChar">
    <w:name w:val="Header Char"/>
    <w:basedOn w:val="DefaultParagraphFont"/>
    <w:link w:val="Header"/>
    <w:uiPriority w:val="99"/>
    <w:rsid w:val="00AB5093"/>
  </w:style>
  <w:style w:type="paragraph" w:styleId="Footer">
    <w:name w:val="footer"/>
    <w:basedOn w:val="Normal"/>
    <w:link w:val="FooterChar"/>
    <w:uiPriority w:val="99"/>
    <w:unhideWhenUsed/>
    <w:rsid w:val="00AB5093"/>
    <w:pPr>
      <w:tabs>
        <w:tab w:val="center" w:pos="4513"/>
        <w:tab w:val="right" w:pos="9026"/>
      </w:tabs>
      <w:spacing w:after="0" w:line="240" w:lineRule="auto"/>
    </w:pPr>
  </w:style>
  <w:style w:type="character" w:customStyle="1" w:styleId="FooterChar">
    <w:name w:val="Footer Char"/>
    <w:basedOn w:val="DefaultParagraphFont"/>
    <w:link w:val="Footer"/>
    <w:uiPriority w:val="99"/>
    <w:rsid w:val="00AB5093"/>
  </w:style>
  <w:style w:type="paragraph" w:styleId="ListParagraph">
    <w:name w:val="List Paragraph"/>
    <w:basedOn w:val="Normal"/>
    <w:uiPriority w:val="34"/>
    <w:qFormat/>
    <w:rsid w:val="00DE2B25"/>
    <w:pPr>
      <w:ind w:left="720"/>
      <w:contextualSpacing/>
    </w:pPr>
  </w:style>
  <w:style w:type="character" w:styleId="Hyperlink">
    <w:name w:val="Hyperlink"/>
    <w:basedOn w:val="DefaultParagraphFont"/>
    <w:uiPriority w:val="99"/>
    <w:unhideWhenUsed/>
    <w:rsid w:val="00E71895"/>
    <w:rPr>
      <w:color w:val="0000FF" w:themeColor="hyperlink"/>
      <w:u w:val="single"/>
    </w:rPr>
  </w:style>
  <w:style w:type="character" w:styleId="UnresolvedMention">
    <w:name w:val="Unresolved Mention"/>
    <w:basedOn w:val="DefaultParagraphFont"/>
    <w:uiPriority w:val="99"/>
    <w:semiHidden/>
    <w:unhideWhenUsed/>
    <w:rsid w:val="00E71895"/>
    <w:rPr>
      <w:color w:val="808080"/>
      <w:shd w:val="clear" w:color="auto" w:fill="E6E6E6"/>
    </w:rPr>
  </w:style>
  <w:style w:type="character" w:styleId="CommentReference">
    <w:name w:val="annotation reference"/>
    <w:basedOn w:val="DefaultParagraphFont"/>
    <w:uiPriority w:val="99"/>
    <w:semiHidden/>
    <w:unhideWhenUsed/>
    <w:rsid w:val="00D45277"/>
    <w:rPr>
      <w:sz w:val="16"/>
      <w:szCs w:val="16"/>
    </w:rPr>
  </w:style>
  <w:style w:type="paragraph" w:styleId="CommentText">
    <w:name w:val="annotation text"/>
    <w:basedOn w:val="Normal"/>
    <w:link w:val="CommentTextChar"/>
    <w:uiPriority w:val="99"/>
    <w:unhideWhenUsed/>
    <w:rsid w:val="00D45277"/>
    <w:pPr>
      <w:spacing w:line="240" w:lineRule="auto"/>
    </w:pPr>
    <w:rPr>
      <w:sz w:val="20"/>
    </w:rPr>
  </w:style>
  <w:style w:type="character" w:customStyle="1" w:styleId="CommentTextChar">
    <w:name w:val="Comment Text Char"/>
    <w:basedOn w:val="DefaultParagraphFont"/>
    <w:link w:val="CommentText"/>
    <w:uiPriority w:val="99"/>
    <w:rsid w:val="00D45277"/>
    <w:rPr>
      <w:sz w:val="20"/>
    </w:rPr>
  </w:style>
  <w:style w:type="paragraph" w:styleId="CommentSubject">
    <w:name w:val="annotation subject"/>
    <w:basedOn w:val="CommentText"/>
    <w:next w:val="CommentText"/>
    <w:link w:val="CommentSubjectChar"/>
    <w:uiPriority w:val="99"/>
    <w:semiHidden/>
    <w:unhideWhenUsed/>
    <w:rsid w:val="00D45277"/>
    <w:rPr>
      <w:b/>
      <w:bCs/>
    </w:rPr>
  </w:style>
  <w:style w:type="character" w:customStyle="1" w:styleId="CommentSubjectChar">
    <w:name w:val="Comment Subject Char"/>
    <w:basedOn w:val="CommentTextChar"/>
    <w:link w:val="CommentSubject"/>
    <w:uiPriority w:val="99"/>
    <w:semiHidden/>
    <w:rsid w:val="00D45277"/>
    <w:rPr>
      <w:b/>
      <w:bCs/>
      <w:sz w:val="20"/>
    </w:rPr>
  </w:style>
  <w:style w:type="character" w:customStyle="1" w:styleId="Hyperlink1">
    <w:name w:val="Hyperlink.1"/>
    <w:basedOn w:val="DefaultParagraphFont"/>
    <w:rsid w:val="00D45277"/>
    <w:rPr>
      <w:color w:val="0070C0"/>
      <w:u w:val="single" w:color="0070C0"/>
    </w:rPr>
  </w:style>
  <w:style w:type="paragraph" w:customStyle="1" w:styleId="Body">
    <w:name w:val="Body"/>
    <w:rsid w:val="00D45277"/>
    <w:pPr>
      <w:pBdr>
        <w:top w:val="nil"/>
        <w:left w:val="nil"/>
        <w:bottom w:val="nil"/>
        <w:right w:val="nil"/>
        <w:between w:val="nil"/>
        <w:bar w:val="nil"/>
      </w:pBdr>
    </w:pPr>
    <w:rPr>
      <w:szCs w:val="22"/>
      <w:u w:color="000000"/>
      <w:bdr w:val="nil"/>
      <w:lang w:val="it-IT"/>
    </w:rPr>
  </w:style>
  <w:style w:type="character" w:styleId="Strong">
    <w:name w:val="Strong"/>
    <w:basedOn w:val="DefaultParagraphFont"/>
    <w:uiPriority w:val="22"/>
    <w:qFormat/>
    <w:rsid w:val="004051DE"/>
    <w:rPr>
      <w:b/>
      <w:bCs/>
    </w:rPr>
  </w:style>
  <w:style w:type="paragraph" w:styleId="Revision">
    <w:name w:val="Revision"/>
    <w:hidden/>
    <w:uiPriority w:val="99"/>
    <w:semiHidden/>
    <w:rsid w:val="00A43006"/>
    <w:pPr>
      <w:spacing w:after="0" w:line="240" w:lineRule="auto"/>
    </w:pPr>
  </w:style>
  <w:style w:type="paragraph" w:styleId="BalloonText">
    <w:name w:val="Balloon Text"/>
    <w:basedOn w:val="Normal"/>
    <w:link w:val="BalloonTextChar"/>
    <w:uiPriority w:val="99"/>
    <w:semiHidden/>
    <w:unhideWhenUsed/>
    <w:rsid w:val="008F38E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F38E0"/>
    <w:rPr>
      <w:rFonts w:ascii="Segoe UI" w:hAnsi="Segoe UI" w:cs="Segoe UI"/>
      <w:sz w:val="18"/>
      <w:szCs w:val="18"/>
    </w:rPr>
  </w:style>
  <w:style w:type="character" w:styleId="FollowedHyperlink">
    <w:name w:val="FollowedHyperlink"/>
    <w:basedOn w:val="DefaultParagraphFont"/>
    <w:uiPriority w:val="99"/>
    <w:semiHidden/>
    <w:unhideWhenUsed/>
    <w:rsid w:val="00151B5A"/>
    <w:rPr>
      <w:color w:val="800080" w:themeColor="followedHyperlink"/>
      <w:u w:val="single"/>
    </w:rPr>
  </w:style>
  <w:style w:type="character" w:customStyle="1" w:styleId="Heading1Char">
    <w:name w:val="Heading 1 Char"/>
    <w:basedOn w:val="DefaultParagraphFont"/>
    <w:link w:val="Heading1"/>
    <w:rsid w:val="005F0B17"/>
    <w:rPr>
      <w:rFonts w:ascii="Cambria" w:eastAsia="Cambria" w:hAnsi="Cambria" w:cs="Cambria"/>
      <w:b/>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82903">
      <w:bodyDiv w:val="1"/>
      <w:marLeft w:val="0"/>
      <w:marRight w:val="0"/>
      <w:marTop w:val="0"/>
      <w:marBottom w:val="0"/>
      <w:divBdr>
        <w:top w:val="none" w:sz="0" w:space="0" w:color="auto"/>
        <w:left w:val="none" w:sz="0" w:space="0" w:color="auto"/>
        <w:bottom w:val="none" w:sz="0" w:space="0" w:color="auto"/>
        <w:right w:val="none" w:sz="0" w:space="0" w:color="auto"/>
      </w:divBdr>
    </w:div>
    <w:div w:id="5148099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mailto:softwarex@elsevier.com" TargetMode="Externa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webSettings" Target="webSettings.xml"/><Relationship Id="rId12" Type="http://schemas.openxmlformats.org/officeDocument/2006/relationships/hyperlink" Target="mailto:softwarex@elsevier.com" TargetMode="External"/><Relationship Id="rId17" Type="http://schemas.openxmlformats.org/officeDocument/2006/relationships/hyperlink" Target="https://f1000research.com/articles/9-1257/v2"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mozart.github.io/documentation/"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elsevier.com/journals/softwarex/2352-7110/guide-for-authors" TargetMode="External"/><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hyperlink" Target="https://www.elsevier.com/journals/softwarex/2352-7110/guide-for-authors" TargetMode="External"/><Relationship Id="rId23" Type="http://schemas.openxmlformats.org/officeDocument/2006/relationships/footer" Target="footer3.xml"/><Relationship Id="rId10" Type="http://schemas.openxmlformats.org/officeDocument/2006/relationships/hyperlink" Target="https://www.elsevier.com/journals/softwarex/2352-7110/guide-for-authors" TargetMode="External"/><Relationship Id="rId19" Type="http://schemas.openxmlformats.org/officeDocument/2006/relationships/header" Target="header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github.com/mozart/mozart2" TargetMode="External"/><Relationship Id="rId22" Type="http://schemas.openxmlformats.org/officeDocument/2006/relationships/header" Target="header3.xml"/><Relationship Id="rId2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DECEA3369C3444EA1910F4AC146ED1E" ma:contentTypeVersion="14" ma:contentTypeDescription="Create a new document." ma:contentTypeScope="" ma:versionID="a9ee72afbcdccb000ad1287998820c0e">
  <xsd:schema xmlns:xsd="http://www.w3.org/2001/XMLSchema" xmlns:xs="http://www.w3.org/2001/XMLSchema" xmlns:p="http://schemas.microsoft.com/office/2006/metadata/properties" xmlns:ns2="107529c1-d713-4f0e-ac3b-26a1b8ac1f57" xmlns:ns3="de5825df-219d-48cd-a3d8-675071734261" targetNamespace="http://schemas.microsoft.com/office/2006/metadata/properties" ma:root="true" ma:fieldsID="5c59aeac55ba7f0c2c054fe85451db52" ns2:_="" ns3:_="">
    <xsd:import namespace="107529c1-d713-4f0e-ac3b-26a1b8ac1f57"/>
    <xsd:import namespace="de5825df-219d-48cd-a3d8-675071734261"/>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ObjectDetectorVersions" minOccurs="0"/>
                <xsd:element ref="ns2:MediaServiceDateTaken"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7529c1-d713-4f0e-ac3b-26a1b8ac1f5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914c6e9a-4c33-454e-8dc9-9e27271d2f41" ma:termSetId="09814cd3-568e-fe90-9814-8d621ff8fb84" ma:anchorId="fba54fb3-c3e1-fe81-a776-ca4b69148c4d" ma:open="true" ma:isKeyword="false">
      <xsd:complexType>
        <xsd:sequence>
          <xsd:element ref="pc:Terms" minOccurs="0" maxOccurs="1"/>
        </xsd:sequence>
      </xsd:complex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Location" ma:index="21"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e5825df-219d-48cd-a3d8-675071734261"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5b7f99fb-457d-4ac3-a95e-8b5438f4c5ef}" ma:internalName="TaxCatchAll" ma:showField="CatchAllData" ma:web="de5825df-219d-48cd-a3d8-675071734261">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e5825df-219d-48cd-a3d8-675071734261" xsi:nil="true"/>
    <lcf76f155ced4ddcb4097134ff3c332f xmlns="107529c1-d713-4f0e-ac3b-26a1b8ac1f5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2D3166B-69DD-4491-A94A-E61954D8CFA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07529c1-d713-4f0e-ac3b-26a1b8ac1f57"/>
    <ds:schemaRef ds:uri="de5825df-219d-48cd-a3d8-67507173426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54CE2F2-156C-475F-A676-FBCD4F2B923D}">
  <ds:schemaRefs>
    <ds:schemaRef ds:uri="http://schemas.microsoft.com/sharepoint/v3/contenttype/forms"/>
  </ds:schemaRefs>
</ds:datastoreItem>
</file>

<file path=customXml/itemProps3.xml><?xml version="1.0" encoding="utf-8"?>
<ds:datastoreItem xmlns:ds="http://schemas.openxmlformats.org/officeDocument/2006/customXml" ds:itemID="{5ADD8FC7-380E-48ED-9ED0-155BB80A9642}">
  <ds:schemaRefs>
    <ds:schemaRef ds:uri="http://schemas.microsoft.com/office/2006/metadata/properties"/>
    <ds:schemaRef ds:uri="http://schemas.microsoft.com/office/infopath/2007/PartnerControls"/>
    <ds:schemaRef ds:uri="de5825df-219d-48cd-a3d8-675071734261"/>
    <ds:schemaRef ds:uri="107529c1-d713-4f0e-ac3b-26a1b8ac1f57"/>
  </ds:schemaRefs>
</ds:datastoreItem>
</file>

<file path=docMetadata/LabelInfo.xml><?xml version="1.0" encoding="utf-8"?>
<clbl:labelList xmlns:clbl="http://schemas.microsoft.com/office/2020/mipLabelMetadata">
  <clbl:label id="{549ac42a-3eb4-4074-b885-aea26bd6241e}" enabled="1" method="Standard" siteId="{9274ee3f-9425-4109-a27f-9fb15c10675d}" contentBits="0" removed="0"/>
  <clbl:label id="{96e14e5a-57ac-48d7-851d-12f54eff5a60}" enabled="0" method="" siteId="{96e14e5a-57ac-48d7-851d-12f54eff5a60}" removed="1"/>
</clbl:labelList>
</file>

<file path=docProps/app.xml><?xml version="1.0" encoding="utf-8"?>
<Properties xmlns="http://schemas.openxmlformats.org/officeDocument/2006/extended-properties" xmlns:vt="http://schemas.openxmlformats.org/officeDocument/2006/docPropsVTypes">
  <Template>Normal</Template>
  <TotalTime>0</TotalTime>
  <Pages>4</Pages>
  <Words>1202</Words>
  <Characters>6854</Characters>
  <Application>Microsoft Office Word</Application>
  <DocSecurity>4</DocSecurity>
  <Lines>57</Lines>
  <Paragraphs>16</Paragraphs>
  <ScaleCrop>false</ScaleCrop>
  <HeadingPairs>
    <vt:vector size="2" baseType="variant">
      <vt:variant>
        <vt:lpstr>Title</vt:lpstr>
      </vt:variant>
      <vt:variant>
        <vt:i4>1</vt:i4>
      </vt:variant>
    </vt:vector>
  </HeadingPairs>
  <TitlesOfParts>
    <vt:vector size="1" baseType="lpstr">
      <vt:lpstr>SoftwareX_article_template.docx</vt:lpstr>
    </vt:vector>
  </TitlesOfParts>
  <Company>Reed Elsevier</Company>
  <LinksUpToDate>false</LinksUpToDate>
  <CharactersWithSpaces>8040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Local GPU Imagegen: Durable run records for local image generation</dc:title>
  <dc:creator>Zhen Cheng</dc:creator>
  <cp:lastModifiedBy>Zhen Cheng</cp:lastModifiedBy>
  <cp:revision>2</cp:revision>
  <dcterms:created xsi:type="dcterms:W3CDTF">2026-03-30T10:33:00Z</dcterms:created>
  <dcterms:modified xsi:type="dcterms:W3CDTF">2026-03-30T10:33:00Z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49ac42a-3eb4-4074-b885-aea26bd6241e_Enabled">
    <vt:lpwstr>true</vt:lpwstr>
  </property>
  <property fmtid="{D5CDD505-2E9C-101B-9397-08002B2CF9AE}" pid="3" name="MSIP_Label_549ac42a-3eb4-4074-b885-aea26bd6241e_SetDate">
    <vt:lpwstr>2021-06-24T09:41:12Z</vt:lpwstr>
  </property>
  <property fmtid="{D5CDD505-2E9C-101B-9397-08002B2CF9AE}" pid="4" name="MSIP_Label_549ac42a-3eb4-4074-b885-aea26bd6241e_Method">
    <vt:lpwstr>Standard</vt:lpwstr>
  </property>
  <property fmtid="{D5CDD505-2E9C-101B-9397-08002B2CF9AE}" pid="5" name="MSIP_Label_549ac42a-3eb4-4074-b885-aea26bd6241e_Name">
    <vt:lpwstr>General Business</vt:lpwstr>
  </property>
  <property fmtid="{D5CDD505-2E9C-101B-9397-08002B2CF9AE}" pid="6" name="MSIP_Label_549ac42a-3eb4-4074-b885-aea26bd6241e_SiteId">
    <vt:lpwstr>9274ee3f-9425-4109-a27f-9fb15c10675d</vt:lpwstr>
  </property>
  <property fmtid="{D5CDD505-2E9C-101B-9397-08002B2CF9AE}" pid="7" name="MSIP_Label_549ac42a-3eb4-4074-b885-aea26bd6241e_ActionId">
    <vt:lpwstr>32486f40-595f-451f-98c6-1d379cf4ab27</vt:lpwstr>
  </property>
  <property fmtid="{D5CDD505-2E9C-101B-9397-08002B2CF9AE}" pid="8" name="MSIP_Label_549ac42a-3eb4-4074-b885-aea26bd6241e_ContentBits">
    <vt:lpwstr>0</vt:lpwstr>
  </property>
  <property fmtid="{D5CDD505-2E9C-101B-9397-08002B2CF9AE}" pid="9" name="ContentTypeId">
    <vt:lpwstr>0x0101005DECEA3369C3444EA1910F4AC146ED1E</vt:lpwstr>
  </property>
  <property fmtid="{D5CDD505-2E9C-101B-9397-08002B2CF9AE}" pid="10" name="MediaServiceImageTags">
    <vt:lpwstr/>
  </property>
</Properties>
</file>