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Its Model Context Protocol interface exposes durable run records, frozen execution routes and explicit submission uncertainty. Six fixed paired Windows operations illustrate its ComfyUI submission guard. After accepted response loss, the guard retains one accepted job but leaves the original client run incomplete; a pre-send failure also produces a false block. A synthetic stop-after-unknown control matches the reported outcomes. Source-based checks distinguish backend acceptance, execution lifecycles and client completion. The software provides an inspectable integration of these interfaces and records, with raw captures remaining private for this study.</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select workflows, submit parameters, inspect progress and retrieve images through backend adapters. Product calls, adapter sends, backend acceptance, execution and client completion are separate events. A failed response does not necessarily imply that no backend job exists. Retaining those distinctions is necessary to inspect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why communication failures can make retries repeat an operation's effects [1,2]. In local image generation, a lost acceptance response can lead to another accepted job, while stopping after uncertainty can block completion even if nothing was sent. The engineering question is what the controller records and permits at this boundary.</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provides a reusable control plane around local backends. It combines a thin MCP transport, explicit discovery and trust checks, a durable run engine and backend adapters. Li's simulated-service study evaluates a closely related guard that remembers unknown writes and refuses unverifiable repeats [3]. Our contribution is the concrete local image-generation integration and a limited characterization of submission withholding and incomplete client runs, including a pre-send false block. We introduce no new recovery policy and make no comparative efficacy claim. Li also identifies a verification-only limit without a known in-flight bound; that result provides context, but does not establish that our particular unresolved runs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boundary capabilities needed to resolve ambiguous effects [4]. Verification-aware wrappers query task-specific postconditions before retrying and use server-side idempotency where available [5]. ToolPro instead records completed WRITE outcomes and replays them during program repair, under an effect-typed replay discipline [6]. These mechanisms require different information: a local unresolved record is neither an authoritative postcondition nor a recorded completed-write outcome. Local GPU Imagegen exposes that distinction in a ComfyUI integration. It does not implement ToolPro's program runtime or replace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intended reuse is in workflows needing explicit local backend selection and inspectable completion failures. Retained state supports investigation of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MCP transport handles JSON-RPC, schemas, validation, dispatch, timeouts and structured results, using the Model Context Protocol interface [7]. Discovery, trust and capability routing precede execution. The run engine owns orchestration and delegates persistent state to RunStore. Backend loading and image generation are delegated to the generation module and its adapters. The repository includes ComfyUI [8] and WebUI adapters and a Diffusers compatibility path; the retained paired experiment concerns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retains the selected route, submission state and outputs; immutable child runs preserve earlier revisions. Subsequent attempts validate the frozen route, reject drift and expose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The distribution does not bundle a GPU backend or model weights. A user supplies an appropriate local backend and reviews the workflow and model selection. The MCP process does not call an application-specific cloud image API. Confirmed LAN endpoints transmit prompts and source images to that server; loopback is local. Trust records remain outside Git, and model downloads require an explicit download option. Generated and input images remain ordinary local files whose directory permissions are the user's responsibility.</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For the evaluated same-run path, an unknown submission outcome prevents another automatic submission. The guard consults retained run state and returns an unresolved result. This withholding does not by itself identify an accepted backend job, reconcile its output or complete the client operation. It also does not provide backend-wide deduplication across arbitrary processes or newly created runs.</w:t>
      </w:r>
    </w:p>
    <w:p w14:paraId="074AE2C1" w14:textId="4D3974FB" w:rsidR="005C4F03" w:rsidRPr="005C4F03" w:rsidRDefault="005C4F03" w:rsidP="005C4F03">
      <w:pPr>
        <w:spacing w:after="0" w:line="240" w:lineRule="auto"/>
      </w:pPr>
      <w:r>
        <w:rPr>
          <w:rFonts w:ascii="Arial" w:hAnsi="Arial" w:cs="Arial"/>
          <w:szCs w:val="22"/>
          <w:b w:val="0"/>
        </w:rPr>
        <w:t xml:space="preserve">The guard acts on recorded uncertainty, which may arise even when no request reached the backend. Section 3 illustrates both withheld resubmission and its completion cost.</w:t>
      </w:r>
    </w:p>
    <w:p w14:paraId="074AE2C1" w14:textId="4D3974FB" w:rsidR="005C4F03" w:rsidRPr="005C4F03" w:rsidRDefault="005C4F03" w:rsidP="005C4F03">
      <w:pPr>
        <w:spacing w:after="0" w:line="240" w:lineRule="auto"/>
      </w:pPr>
      <w:r>
        <w:rPr>
          <w:rFonts w:ascii="Arial" w:hAnsi="Arial" w:cs="Arial"/>
          <w:szCs w:val="22"/>
          <w:b w:val="0"/>
        </w:rPr>
        <w:t xml:space="preserve">The ComfyUI adapter can poll /history/&lt;job_id&gt; when a backend job identifier is known, including its explicit recovery path. In the unknown-submission path, the response has not supplied a retained job identifier; the product does not automatically discover that missing identifier from backend history or establish whether an unbound request is in flight. local_gpu_get_run returns local retained state, rather than resolving backend acceptance. This implementation boundary explains what remains unknown in F02; it is not a general impossibility result for ComfyUI.</w:t>
      </w:r>
    </w:p>
    <w:p w14:paraId="074AE2C1" w14:textId="4D3974FB" w:rsidR="005C4F03" w:rsidRPr="005C4F03" w:rsidRDefault="005C4F03" w:rsidP="005C4F03">
      <w:pPr>
        <w:spacing w:after="0" w:line="240" w:lineRule="auto"/>
      </w:pPr>
      <w:r>
        <w:rPr>
          <w:rFonts w:ascii="Arial" w:hAnsi="Arial" w:cs="Arial"/>
          <w:szCs w:val="22"/>
          <w:b w:val="0"/>
        </w:rPr>
        <w:t xml:space="preserve">The product's idempotency key binds an attempt to its locally retained request hash. On submission, the adapter sends it as ComfyUI's client_id, not as an independently verified server-side deduplication contract. The tested integration therefore does not assume that repeated /prompt requests return one original outcome, as required for the key-enabled contracts in Li [3]. Retained-job history recovery and service-level idempotent resubmission are distinct mechanisms.</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exposes serve, doctor, verify, config and setup contracts. The verify command checks the MCP interface; an isolated wheel installation reported version 0.9.1 and seventeen tools. That check establishes interface availability, not a complete image-generation workflow on the test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identify one immutable source snapshot, including README.md, Licence.txt, the product and research scripts. From that checkout's root, python -m pip install . installs the product and local-gpu-imagegen verify checks its interface. Version 0.9.1 also exists on PyPI, but that historical artifact is separate from the cited source snapshot. The README describes backend setup separately. From the checkout root, python paper/scripts/verify_paired_projection.py checks the included derived table without submitting a backend job. The checker and exporter require the source checkout and are absent from the product wheel. This example checks the accepted-job and completion distinctions in Section 3; it does not rerun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For an existing run, a client calls local_gpu_get_run with {"run_id":"&lt;existing-run-id&gt;"}. The response includes retained state, request.route and attempts, plus recoverable_next_actions computed during retrieval; the latter need not exist in the disk manifest. In the unknown-submission branch, the attempt has status: unresolved and submission_outcome: unknown, and the run has state: unresolved. Retrying that branch encounters submission_outcome_unknown before another send. Other unresolved attempts can retain a backend job without an unknown-outcome field. RunStore admits their recovery only with the matching idempotency key and request hash; the engine forwards recovery_job_id for its two-stage ComfyUI route, allowing the adapter to poll the retained job instead of posting again. This is a distinct path from the evaluated unknown-submission branch. The frozen request.route stores backend, endpoint/model identity and workflow/compiler versions for subsequent validation. Retrieval does not certify backend completion and can perform local stale-attempt recovery bookkeeping.</w:t>
      </w:r>
    </w:p>
    <w:p w14:paraId="074AE2C1" w14:textId="4D3974FB" w:rsidR="005C4F03" w:rsidRPr="005C4F03" w:rsidRDefault="005C4F03" w:rsidP="005C4F03">
      <w:pPr>
        <w:spacing w:after="0" w:line="240" w:lineRule="auto"/>
      </w:pPr>
      <w:r>
        <w:rPr>
          <w:rFonts w:ascii="Arial" w:hAnsi="Arial" w:cs="Arial"/>
          <w:szCs w:val="22"/>
          <w:b w:val="0"/>
        </w:rPr>
        <w:t xml:space="preserve">Research records can additionally be exported using scripts/research/export_records.py from the source checkout. Twelve synthetic offline probes, with no Windows or GPU execution, produced equal classifications for the exporter and a same-author field parser. Their fixture inputs are separate from the Windows capture bytes. The Python 3.13.15 receipt is paper/evidence/v022-probe-command-receipt.json in the cited snapshot. This comparison supplies no evidence of parser superiority or reduced audit effort.</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The retained F02 guarded case illustrates a failed client operation from submission through inspection. The product submits the selected ComfyUI workflow; backend acceptance occurs, but injected response loss prevents retention of the returned job identifier. The observer records backend completion while the original client run remains unresolved and another same-run generation call is withheld. The client can inspect that local state through local_gpu_get_run, as described in Section 2.3, but retrieval cannot recover the missing identifier. This walkthrough combines the recorded outcome and source interface contract; it adds no later client session or recovery measurement. The B2 path repeats submission and completes, providing the contrasting outcome in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but leaves its original run unresolved even though backend completion is observed. This illustrates submission withholding together with a completion cost. It is not evidence of successful reconciliation.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do not assign a measured amount of GPU computation to that lifecycle. Therefore, two accepted jobs must not be described as twice the computation, and withholding the second submission must not be described as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FPRE is the negative example. B2 eventually sends one upstream request and completes. W3 sends none and remains unresolved. The guard has blocked an operation whose first attempt did not reach the backend. This false block shows the consequence of recording an uncertain outcome without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This equality is restricted to those fields, not all run-state details, and is not another Windows execution result. It limits any claim of policy superiority. The six Windows operations are fixed examples, with no repeated randomized campaign or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Known-job recovery walkthrough</w:t>
      </w:r>
    </w:p>
    <w:p w14:paraId="074AE2C1" w14:textId="4D3974FB" w:rsidR="005C4F03" w:rsidRPr="005C4F03" w:rsidRDefault="005C4F03" w:rsidP="005C4F03">
      <w:pPr>
        <w:spacing w:after="0" w:line="240" w:lineRule="auto"/>
      </w:pPr>
      <w:r>
        <w:rPr>
          <w:rFonts w:ascii="Arial" w:hAnsi="Arial" w:cs="Arial"/>
          <w:szCs w:val="22"/>
          <w:b w:val="0"/>
        </w:rPr>
        <w:t xml:space="preserve">A separate CPU fixture demonstrates the retained-job branch for the two-stage route. A fake backend reports a job identifier through the product callback and then raises a timeout. The engine records state: unresolved and attempts[-1].backend_job.job_id. Calling local_gpu_get_run adds no backend call and returns get_run plus generate_round:recover. Re-entering generate_round with the same key and request hash forwards recovery_job_id to the fake runner. The engine then records one round, its existing synthetic image and state: generated. A changed key is rejected before reaching the runner. A defined stop-only control, which takes no further action on the same retained manifest, remains unresolved; this demonstrates the added recovery operation, not statistical policy superiority.</w:t>
      </w:r>
    </w:p>
    <w:p w14:paraId="074AE2C1" w14:textId="4D3974FB" w:rsidR="005C4F03" w:rsidRPr="005C4F03" w:rsidRDefault="005C4F03" w:rsidP="005C4F03">
      <w:pPr>
        <w:spacing w:after="0" w:line="240" w:lineRule="auto"/>
      </w:pPr>
      <w:r>
        <w:rPr>
          <w:rFonts w:ascii="Arial" w:hAnsi="Arial" w:cs="Arial"/>
          <w:szCs w:val="22"/>
          <w:b w:val="0"/>
        </w:rPr>
        <w:t xml:space="preserve">In an independent adapter check against a loopback fake HTTP server, a known recovery_job_id produces /history/prompt-1 and /view requests with zero /prompt POSTs. The engine and adapter checks are separate, rather than an integrated backend execution. Their executable walkthrough and receipt accompany this manuscript as known_job_recovery_demo.py and known-job-recovery-receipt.json. Both use source-snapshot test fixtures, synthetic outputs and known identifiers; neither runs a GPU, reconciles a missing identifier or adds a Windows F03 case. The actual final state is generated, not completed, and image acceptance/finalization remains a later operation.</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1358537"/>
            <wp:docPr id="2" name="Picture 2"/>
            <wp:cNvGraphicFramePr>
              <a:graphicFrameLocks noChangeAspect="1"/>
            </wp:cNvGraphicFramePr>
            <a:graphic>
              <a:graphicData uri="http://schemas.openxmlformats.org/drawingml/2006/picture">
                <pic:pic>
                  <pic:nvPicPr>
                    <pic:cNvPr id="0" name="known-job-recovery.png"/>
                    <pic:cNvPicPr/>
                  </pic:nvPicPr>
                  <pic:blipFill>
                    <a:blip r:embed="rId27"/>
                    <a:stretch>
                      <a:fillRect/>
                    </a:stretch>
                  </pic:blipFill>
                  <pic:spPr>
                    <a:xfrm>
                      <a:off x="0" y="0"/>
                      <a:ext cx="5943600" cy="135853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2. CPU engine fixture with a retained job identifier. Retrieval exposes the recovery action; same-key/hash re-entry forwards the identifier and records a generated round. The stop-only branch takes no further action. The separate HTTP-adapter check queries history/view with zero prompt POSTs.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and an isolated rebuilt wheel reported seventeen tools through local-gpu-imagegen verify. These are model-free software checks on separate runners and environments, not author-machine or GPU-generation validation. An older Python 3.13.15 receipt records a distinct thirteen-test offline subset. Exact revisions, commands and scopes are retained at https://github.com/ChevalGrand520/local-gpu-imagegen/blob/abb363992469c23eae354f2374af32ffc8c6b1ad/paper-softwarex/VALIDATION_20261004.md . This validation-material revision is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macOS Python 3.12 full-suite attempt reported thirty failures, five errors and forty skips across 1,274 tests. The recorded failures include platform-specific filesystem and isolated-installation paths; they were not all assigned a single cause. Windows is the product platform, and successful Mac interface checks do not establish full macOS support.</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The software makes an incomplete generation operation inspectable through a retained manifest and a client-facing retrieval tool. A researcher can read the confirmed route, distinguish an unresolved submission from a generated or finalized image, and check the six derived rows without loading a model. These functions provide a concrete inspection workflow for the recorded cases.</w:t>
      </w:r>
    </w:p>
    <w:p w14:paraId="074AE2C1" w14:textId="4D3974FB" w:rsidR="005C4F03" w:rsidRPr="005C4F03" w:rsidRDefault="005C4F03" w:rsidP="005C4F03">
      <w:pPr>
        <w:spacing w:after="0" w:line="240" w:lineRule="auto"/>
      </w:pPr>
      <w:r>
        <w:rPr>
          <w:rFonts w:ascii="Arial" w:hAnsi="Arial" w:cs="Arial"/>
          <w:szCs w:val="22"/>
          <w:b w:val="0"/>
        </w:rPr>
        <w:t xml:space="preserve">The accompanying source-based checks keep accepted-job counts, execution lifecycles and client completion separate. This supports asking whether withholding another submission preserves completion, and whether a repeated accepted job incurs additional computation. The fixed examples show incomplete guarded runs for F02 and FPRE and leave additional computation unmeasured because of caching. The contribution is an implemented inspection capability around an existing backend.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raw paired capture is private. It contains configuration, source snapshots, logs and images beyond the derived public record. An author-side consistency audit is not independent execution authentication. A private sanitized prototype preserves the derived rows and selected semantic relations, but is not yet a released or complete raw-data replacement. Reproducibility claims must remain at the level supported by the distributed software and derived checks.</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local backend adapters and durable run records. Its fixed ComfyUI examples make the tradeoff between withholding uncertain submissions and completing client operations inspectable. The accepted-response-loss pair retains fewer accepted jobs under the guard, while the pre-send pair exposes a false block. Equal simple-stop and parser controls constrain the contribution to a software integration and bounded characterization. The source distribution and derived checks enable inspection, with explicit limits on backend execution reproduction and unsupported platform claims.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p w14:paraId="074AE2C1" w14:textId="4D3974FB" w:rsidR="005C4F03" w:rsidRPr="005C4F03" w:rsidRDefault="005C4F03" w:rsidP="005C4F03">
      <w:pPr>
        <w:spacing w:after="0" w:line="240" w:lineRule="auto"/>
      </w:pPr>
      <w:r>
        <w:rPr>
          <w:rFonts w:ascii="Arial" w:hAnsi="Arial" w:cs="Arial"/>
          <w:szCs w:val="22"/>
          <w:b w:val="0"/>
        </w:rPr>
        <w:t xml:space="preserve">[7] Model Context Protocol. Specification, protocol revision 2025-06-18. https://modelcontextprotocol.io/specification/2025-06-18 (accessed 2026-10-04).</w:t>
      </w:r>
    </w:p>
    <w:p w14:paraId="074AE2C1" w14:textId="4D3974FB" w:rsidR="005C4F03" w:rsidRPr="005C4F03" w:rsidRDefault="005C4F03" w:rsidP="005C4F03">
      <w:pPr>
        <w:spacing w:after="0" w:line="240" w:lineRule="auto"/>
      </w:pPr>
      <w:r>
        <w:rPr>
          <w:rFonts w:ascii="Arial" w:hAnsi="Arial" w:cs="Arial"/>
          <w:szCs w:val="22"/>
          <w:b w:val="0"/>
        </w:rPr>
        <w:t xml:space="preserve">[8] Comfy-Org. ComfyUI. Source repository. https://github.com/Comfy-Org/ComfyUI (accessed 2026-10-04).</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