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routes and recovery actions. When submission outcomes are unknown, its guard prevents automatic resubmission in the same run. Six fixed paired Windows operations show the guard retaining one accepted job after response loss, with an incomplete client run and a pre-send false block. A synthetic stop control matches the reported guard outcomes. A separate CPU walkthrough demonstrates known-job recovery. These examples support inspection without establishing general reliability or GPU savings. Raw Windows captures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use backend adapters to select workflows, submit parameters, inspect progress and retrieve images. A product call passes through several events: an adapter send, backend acceptance, execution and client completion. A failed response can leave a backend job running. Records that distinguish these events help users investigate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how communication failures can cause retries to repeat an operation's effects [1,2]. In local image generation, losing an acceptance response can lead to a second accepted job. Stopping after an uncertain outcome can also block completion when nothing was sent. The controller must record the available information and decide which subsequent actions to permit.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combines a thin MCP transport with backend discovery, trust checks, a durable run engine and backend adapters. Li evaluates a closely related guard in simulated services: it remembers writes with unknown outcomes and refuses unverifiable repeats [3]. We implement this kind of guard in a local image-generation system and examine its submission and completion behavior, including a pre-send false block. The contribution is an integration and a limited characterization of its behavior; the recovery policy is not new, and its comparative efficacy remains unestablished. Li also identifies a verification-only limit when no in-flight bound is known. That result does not establish that the unresolved runs in our study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capabilities needed at the tool boundary to resolve ambiguous effects [4]. Verification-aware wrappers query task-specific postconditions before retrying and use server-side idempotency where available [5]. ToolPro records completed WRITE outcomes and replays them during program repair under an effect-typed replay discipline [6]. Each mechanism depends on information that a local unresolved record alone does not supply, such as an authoritative postcondition or a recorded completed-write outcome. Local GPU Imagegen makes this information gap visible in its ComfyUI integration. Its scope excludes ToolPro's program runtime and preserves the need for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software is intended for workflows that need explicit local backend selection and records of completion failures. Users can inspect retained state to investigate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transport exposes a Model Context Protocol interface that declares protocol revision 2024-11-05 [7] and handles JSON-RPC, schemas, validation, dispatch, timeouts and structured results. Before execution, the system discovers backends, checks trust and selects a route according to backend capabilities. The run engine orchestrates execution, while RunStore persists its state. The generation module and its adapters load backends and generate images. The repository includes ComfyUI [8] and WebUI adapters, along with a Diffusers compatibility path. The retained paired experiment evaluates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 OpenAI Codex (GPT-6.1 Sol) assisted in drafting the diagram specification and rendering code.</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records the selected route, submission state and outputs. Immutable child runs preserve earlier revisions. Subsequent attempts check the frozen route, reject changes to it and return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Users supply the GPU backend and model weights, then review the workflow and model selection. Neither is bundled with the distribution. The MCP process does not call an application-specific cloud image API. A confirmed LAN endpoint receives prompts and source images on its server; a loopback endpoint keeps this traffic local. Trust records remain outside Git, and downloading models requires an explicit download option. Input and generated images are ordinary local files. Users are responsible for their directory permissions.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When an attempt's submission outcome is recorded as unknown, the guard prevents another automatic submission in the same run. It reads the retained state and returns an unresolved result before sending another generation request to the backend. In the evaluated F02 path, this blocks automatic resubmission after the accepted response is lost, retaining one accepted job while the client run remains incomplete. FPRE shows the cost of the same decision: a false block after a failure before upstream sending (Section 3).</w:t>
      </w:r>
    </w:p>
    <w:p w14:paraId="074AE2C1" w14:textId="4D3974FB" w:rsidR="005C4F03" w:rsidRPr="005C4F03" w:rsidRDefault="005C4F03" w:rsidP="005C4F03">
      <w:pPr>
        <w:spacing w:after="0" w:line="240" w:lineRule="auto"/>
      </w:pPr>
      <w:r>
        <w:rPr>
          <w:rFonts w:ascii="Arial" w:hAnsi="Arial" w:cs="Arial"/>
          <w:szCs w:val="22"/>
          <w:b w:val="0"/>
        </w:rPr>
        <w:t xml:space="preserve">This behavior is scoped to the evaluated same-run path. Identifying an accepted job, reconciling its output and completing the client run require further information or action. Deduplication across arbitrary processes or newly created runs is outside the scope of this guard.</w:t>
      </w:r>
    </w:p>
    <w:p w14:paraId="074AE2C1" w14:textId="4D3974FB" w:rsidR="005C4F03" w:rsidRPr="005C4F03" w:rsidRDefault="005C4F03" w:rsidP="005C4F03">
      <w:pPr>
        <w:spacing w:after="0" w:line="240" w:lineRule="auto"/>
      </w:pPr>
      <w:r>
        <w:rPr>
          <w:rFonts w:ascii="Arial" w:hAnsi="Arial" w:cs="Arial"/>
          <w:szCs w:val="22"/>
          <w:b w:val="0"/>
        </w:rPr>
        <w:t xml:space="preserve">When a backend job identifier is known, the ComfyUI adapter can poll /history/&lt;job_id&gt;, including during explicit recovery. In the unknown-submission path, the response has supplied no retained identifier. The product neither discovers that identifier automatically from backend history nor determines whether an unbound request is in flight. local_gpu_get_run reads local retained state and leaves backend acceptance unresolved. These implementation limits account for the uncertainty in F02; they establish no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The adapter sends this key as ComfyUI's client_id. A server-side deduplication guarantee has not been independently verified for this integration, so repeated /prompt requests cannot be assumed to return the original outcome required by Li's key-enabled contracts [3]. Recovering a retained job through history uses a different mechanism from service-level idempotent resubmission.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has serve, doctor, verify, config and setup commands. The verify command checks the MCP interface. In an isolated wheel installation, it reported version 0.9.1 and seventeen tools. This result confirms interface availability; a complete image-generation workflow was not validated on that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point to an immutable source snapshot containing README.md, Licence.txt, the product and research scripts. From the checkout root, python -m pip install . installs the product and local-gpu-imagegen verify checks its interface. The README covers backend setup. PyPI also has version 0.9.1 as a historical artifact separate from the cited source snapshot. Running python paper/scripts/verify_paired_projection.py from the checkout root checks the included derived table without submitting a backend job. The checker and exporter require the source checkout and are absent from the product wheel. This check verifies the accepted-job and completion distinctions in Section 3 without rerunning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To inspect an existing run, a client calls local_gpu_get_run with {"run_id":"&lt;existing-run-id&gt;"}. The response includes retained state, request.route and attempts. It also includes recoverable_next_actions, which retrieval computes and which need not be stored in the disk manifest. In the unknown-submission branch, the attempt has status: unresolved and submission_outcome: unknown, and the run has state: unresolved. A retry encounters submission_outcome_unknown before another send.</w:t>
      </w:r>
    </w:p>
    <w:p w14:paraId="074AE2C1" w14:textId="4D3974FB" w:rsidR="005C4F03" w:rsidRPr="005C4F03" w:rsidRDefault="005C4F03" w:rsidP="005C4F03">
      <w:pPr>
        <w:spacing w:after="0" w:line="240" w:lineRule="auto"/>
      </w:pPr>
      <w:r>
        <w:rPr>
          <w:rFonts w:ascii="Arial" w:hAnsi="Arial" w:cs="Arial"/>
          <w:szCs w:val="22"/>
          <w:b w:val="0"/>
        </w:rPr>
        <w:t xml:space="preserve">Other unresolved attempts can retain a backend job without an unknown-outcome field. RunStore permits recovery only when the idempotency key and request hash match. For the two-stage ComfyUI route, the engine forwards recovery_job_id so the adapter can poll the retained job without posting again. This recovery path differs from the evaluated unknown-submission branch. The frozen request.route records the backend, endpoint/model identity and workflow/compiler versions for subsequent checks. Retrieval can update local bookkeeping for stale attempts, but does not certify backend completion.</w:t>
      </w:r>
    </w:p>
    <w:p w14:paraId="074AE2C1" w14:textId="4D3974FB" w:rsidR="005C4F03" w:rsidRPr="005C4F03" w:rsidRDefault="005C4F03" w:rsidP="005C4F03">
      <w:pPr>
        <w:spacing w:after="0" w:line="240" w:lineRule="auto"/>
      </w:pPr>
      <w:r>
        <w:rPr>
          <w:rFonts w:ascii="Arial" w:hAnsi="Arial" w:cs="Arial"/>
          <w:szCs w:val="22"/>
          <w:b w:val="0"/>
        </w:rPr>
        <w:t xml:space="preserve">From the source checkout, scripts/research/export_records.py exports research records. Twelve synthetic offline probes produced equal classifications for the exporter and a field parser written by the same author. These probes used fixtures separate from the Windows capture bytes and involved no Windows or GPU execution. The Python 3.13.15 receipt is paper/evidence/v022-probe-command-receipt.json in the cited snapshot. Parser superiority and reduced audit effort remain unestablished by this comparison.</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In the retained F02 guarded case, the product submits the selected ComfyUI workflow and the backend accepts it. Injected response loss prevents the product from retaining the returned job identifier. The observer records backend completion, while the original client run remains unresolved and the guard withholds another same-run generation call. A client can inspect this local state through local_gpu_get_run (Section 2.3), but retrieval cannot recover the missing identifier. This account combines the recorded outcome with the source interface contract. No later client session or recovery was measured. In the B2 path, repeated submission completes the client operation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Although the observer records backend completion, the original W3 run remains unresolved: withholding the second submission has not reconciled the client run.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provide no measured amount of GPU computation for that lifecycle. Two accepted jobs therefore do not establish twice the computation, and withholding the second submission establishes no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In FPRE, B2 eventually sends one upstream request and completes. W3 sends none and remains unresolved. The guard blocks an operation whose first attempt never reached the backend because its retained state lacks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The match establishes equality in these fields only, leaving other run-state details outside its scope. This CPU result adds no Windows execution evidence and supports no claim of policy superiority. The six Windows operations are fixed examples without a repeated randomized campaign or a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exercises the retained-job branch of the two-stage route. The fake backend reports a job identifier through the product callback, then raises a timeout. The engine records state: unresolved and attempts[-1].backend_job.job_id. Calling local_gpu_get_run returns get_run and generate_round:recover without making a backend call. Re-entering generate_round with the same key and request hash forwards recovery_job_id to the fake runner. The engine records one round, its existing synthetic image and state: generated. It rejects a changed key before the call reaches the runner. A defined stop-only control takes no further action on the same retained manifest and remains unresolved. This fixture demonstrates the recovery operation; statistical policy superiority remains unestablished.</w:t>
      </w:r>
    </w:p>
    <w:p w14:paraId="074AE2C1" w14:textId="4D3974FB" w:rsidR="005C4F03" w:rsidRPr="005C4F03" w:rsidRDefault="005C4F03" w:rsidP="005C4F03">
      <w:pPr>
        <w:spacing w:after="0" w:line="240" w:lineRule="auto"/>
      </w:pPr>
      <w:r>
        <w:rPr>
          <w:rFonts w:ascii="Arial" w:hAnsi="Arial" w:cs="Arial"/>
          <w:szCs w:val="22"/>
          <w:b w:val="0"/>
        </w:rPr>
        <w:t xml:space="preserve">In a separate adapter check against a loopback fake HTTP server, a known recovery_job_id produces /history/prompt-1 and /view requests with zero /prompt POSTs. The engine and adapter are checked independently, so the results cover two components without an integrated backend execution. The executable walkthrough and receipt accompany the manuscript as known_job_recovery_demo.py and known-job-recovery-receipt.json. Both checks use source-snapshot test fixtures, synthetic outputs and known identifiers. They involve no GPU execution, missing-identifier reconciliation or Windows F03 case. The walkthrough ends at generated;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dashed stop-only connector denotes no further action or state transition; the retained manifest remains unresolved. The separate HTTP-adapter check queries history/view with zero prompt POSTs. OpenAI Codex (GPT-6.1 Sol) assisted in drafting the schematic and Python rendering code.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 isolated rebuilt wheel also reported seventeen tools through local-gpu-imagegen verify. These checks used no models and ran in separate environments. Their scope excludes validation of the author's machine or GPU generation. An older Python 3.13.15 receipt records a distinct thirteen-test offline subset. Exact revisions, commands and scopes are recorded at https://github.com/ChevalGrand520/local-gpu-imagegen/blob/dc9720ee76375ea341a8770c4ef32c0143b3a1ff/paper-softwarex/VALIDATION_20261004.md . The validation materials have their own revision,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local macOS Python 3.12 full-suite attempt reported thirty failures, five errors and forty skips across 1,274 tests (exit 1); the observed failures include macOS-unsupported /proc/self/fd and atomic report-installation paths, an isolated pip install failure, and one tracked Windows absolute path caught by repository hygiene. The retained summary is available at https://github.com/ChevalGrand520/local-gpu-imagegen/blob/dc9720ee76375ea341a8770c4ef32c0143b3a1ff/paper-access/AUTONOMOUS_RESEARCH_GATE_20261003.md . This was a failed local gate, not a Windows or Ubuntu CI result; the observations do not assign a single cause to all failures, and the full log for that run is not among the published materials. Windows is the product platform, and successful Mac interface checks do not establish full macOS support.</w:t>
      </w:r>
    </w:p>
    <w:p w14:paraId="074AE2C1" w14:textId="4D3974FB" w:rsidR="005C4F03" w:rsidRPr="005C4F03" w:rsidRDefault="005C4F03" w:rsidP="005C4F03">
      <w:pPr>
        <w:spacing w:after="0" w:line="240" w:lineRule="auto"/>
      </w:pPr>
      <w:r>
        <w:rPr>
          <w:rFonts w:ascii="Arial" w:hAnsi="Arial" w:cs="Arial"/>
          <w:szCs w:val="22"/>
          <w:b w:val="0"/>
        </w:rPr>
        <w:t xml:space="preserve">The walkthrough, its receipt and the final-check and CPU validation records are available at https://github.com/ChevalGrand520/local-gpu-imagegen/tree/dc9720ee76375ea341a8770c4ef32c0143b3a1ff/paper-softwarex . The package includes final-check-receipt-20261004.json and validation/cpu-report-20261004.json for repeated model-free software checks and the synthetic stop-control comparison. The CPU comparison uses frozen B2 and W3 variants, separately identified in validation/cpu-source-freeze-20261004.json; it does not replay the Windows capture. OpenAI Codex assisted with experimental code prototyping. The reported outcomes are taken from retained records and executable fixture checks.</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gives operators a local checkpoint between a failed generation response and their next action. Calling local_gpu_get_run exposes the selected route, retained attempts, current state and recovery actions. When the run has state: unresolved and an attempt records submission_outcome: unknown, the operator can see that automatic resubmission is blocked. Backend history or transport evidence is then needed to determine whether work was accepted or whether no send occurred. F02 and FPRE illustrate these different outcomes behind an unknown local result; retrieval alone cannot distinguish them.</w:t>
      </w:r>
    </w:p>
    <w:p w14:paraId="074AE2C1" w14:textId="4D3974FB" w:rsidR="005C4F03" w:rsidRPr="005C4F03" w:rsidRDefault="005C4F03" w:rsidP="005C4F03">
      <w:pPr>
        <w:spacing w:after="0" w:line="240" w:lineRule="auto"/>
      </w:pPr>
      <w:r>
        <w:rPr>
          <w:rFonts w:ascii="Arial" w:hAnsi="Arial" w:cs="Arial"/>
          <w:szCs w:val="22"/>
          <w:b w:val="0"/>
        </w:rPr>
        <w:t xml:space="preserve">For a retained backend job identifier, local_gpu_get_run exposes generate_round:recover. Re-entering generate_round with the same key and request hash forwards recovery_job_id to resume the retained job through the adapter's history path. The CPU walkthrough demonstrates this path reaching generated. Together, local inspection and known-job recovery provide a way to resume supported runs while keeping uncertain submissions visible for operator review. This is a source-based usage explanation; operator behavior and audit effort have not been measured.</w:t>
      </w:r>
    </w:p>
    <w:p w14:paraId="074AE2C1" w14:textId="4D3974FB" w:rsidR="005C4F03" w:rsidRPr="005C4F03" w:rsidRDefault="005C4F03" w:rsidP="005C4F03">
      <w:pPr>
        <w:spacing w:after="0" w:line="240" w:lineRule="auto"/>
      </w:pPr>
      <w:r>
        <w:rPr>
          <w:rFonts w:ascii="Arial" w:hAnsi="Arial" w:cs="Arial"/>
          <w:szCs w:val="22"/>
          <w:b w:val="0"/>
        </w:rPr>
        <w:t xml:space="preserve">The records and source-only checks also make several research questions inspectable: when does backend completion leave the original client run incomplete, what completion cost accompanies blocking a repeat submission, and how does the absence of a retained job identifier constrain recovery? Accepted jobs, execution lifecycles and client completion are recorded as separate outcomes, and the six derived rows can be checked without loading a model. Further study could add backend contracts or independent computation measurements to this structure. In the fixed examples, F02 and FPRE expose the completion cost; cached execution leaves additional GPU computation unmeasured.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private raw paired capture contains configuration, source snapshots, logs and images beyond the derived public record. The author-side consistency audit does not independently authenticate execution. A private sanitized prototype preserves the derived rows and selected semantic relations, but remains unreleased and incomplete as a replacement for the raw data. The distributed software and derived checks therefore support only limited reproduction.</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with local backend adapters and durable run records. Its guard prevents automatic resubmission in the evaluated same-run unknown-outcome path; inspection and known-job recovery expose subsequent actions. The fixed ComfyUI examples document the completion cost of this choice. After acceptance-response loss, the guarded path retains fewer accepted jobs; before sending, the same guard can falsely block completion. The synthetic simple-stop and parser controls produce equal outcomes in the compared fields, limiting the contribution to software integration and a bounded characterization of its behavior. Users can inspect the distributed source and derived records, subject to the limits on reproducing backend execution and validating additional platforms.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074AE2C1" w14:textId="4D3974FB" w:rsidR="005C4F03" w:rsidRPr="005C4F03" w:rsidRDefault="005C4F03" w:rsidP="005C4F03">
      <w:pPr>
        <w:spacing w:after="0" w:line="240" w:lineRule="auto"/>
      </w:pPr>
      <w:r>
        <w:rPr>
          <w:rFonts w:ascii="Arial" w:hAnsi="Arial" w:cs="Arial"/>
          <w:szCs w:val="22"/>
          <w:b w:val="0"/>
        </w:rPr>
        <w:t xml:space="preserve">For the explanatory diagrams, OpenAI Codex (GPT-6.1 Sol) assisted in drafting the specifications and rendering code. The retained specifications and code render Figures 1 and 2.</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Funding</w:t>
      </w:r>
    </w:p>
    <w:p w14:paraId="074AE2C1" w14:textId="4D3974FB" w:rsidR="005C4F03" w:rsidRPr="005C4F03" w:rsidRDefault="005C4F03" w:rsidP="005C4F03">
      <w:pPr>
        <w:spacing w:after="0" w:line="240" w:lineRule="auto"/>
      </w:pPr>
      <w:r>
        <w:rPr>
          <w:rFonts w:ascii="Arial" w:hAnsi="Arial" w:cs="Arial"/>
          <w:szCs w:val="22"/>
          <w:b w:val="0"/>
        </w:rPr>
        <w:t xml:space="preserve">This research received no specific grant from funding agencies in the public, commercial, or not-for-profit sectors. The author completed the work independently.</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competing interests</w:t>
      </w:r>
    </w:p>
    <w:p w14:paraId="074AE2C1" w14:textId="4D3974FB" w:rsidR="005C4F03" w:rsidRPr="005C4F03" w:rsidRDefault="005C4F03" w:rsidP="005C4F03">
      <w:pPr>
        <w:spacing w:after="0" w:line="240" w:lineRule="auto"/>
      </w:pPr>
      <w:r>
        <w:rPr>
          <w:rFonts w:ascii="Arial" w:hAnsi="Arial" w:cs="Arial"/>
          <w:szCs w:val="22"/>
          <w:b w:val="0"/>
        </w:rPr>
        <w:t xml:space="preserve">The author declares no competing financial interests or personal relationships that could have appeared to influence the work reported in this paper.</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CRediT authorship contribution statement</w:t>
      </w:r>
    </w:p>
    <w:p w14:paraId="074AE2C1" w14:textId="4D3974FB" w:rsidR="005C4F03" w:rsidRPr="005C4F03" w:rsidRDefault="005C4F03" w:rsidP="005C4F03">
      <w:pPr>
        <w:spacing w:after="0" w:line="240" w:lineRule="auto"/>
      </w:pPr>
      <w:r>
        <w:rPr>
          <w:rFonts w:ascii="Arial" w:hAnsi="Arial" w:cs="Arial"/>
          <w:szCs w:val="22"/>
          <w:b w:val="0"/>
        </w:rPr>
        <w:t xml:space="preserve">Zhen Cheng: Conceptualization, Methodology, Software, Investigation, Validation, Data curation, Writing – original draft, Writing – review &amp; editing.</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Ethics and consent</w:t>
      </w:r>
    </w:p>
    <w:p w14:paraId="074AE2C1" w14:textId="4D3974FB" w:rsidR="005C4F03" w:rsidRPr="005C4F03" w:rsidRDefault="005C4F03" w:rsidP="005C4F03">
      <w:pPr>
        <w:spacing w:after="0" w:line="240" w:lineRule="auto"/>
      </w:pPr>
      <w:r>
        <w:rPr>
          <w:rFonts w:ascii="Arial" w:hAnsi="Arial" w:cs="Arial"/>
          <w:szCs w:val="22"/>
          <w:b w:val="0"/>
        </w:rPr>
        <w:t xml:space="preserve">This study did not involve human participants, identifiable personal data, or animal experiments.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2024-11-05. https://modelcontextprotocol.io/specification/2024-11-05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