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drawings/drawing1.xml" ContentType="application/vnd.openxmlformats-officedocument.drawingml.chartshapes+xml"/>
  <Override PartName="/word/charts/chart4.xml" ContentType="application/vnd.openxmlformats-officedocument.drawingml.chart+xml"/>
  <Override PartName="/word/theme/themeOverride4.xml" ContentType="application/vnd.openxmlformats-officedocument.themeOverride+xml"/>
  <Override PartName="/word/drawings/drawing2.xml" ContentType="application/vnd.openxmlformats-officedocument.drawingml.chartshapes+xml"/>
  <Override PartName="/word/charts/chart5.xml" ContentType="application/vnd.openxmlformats-officedocument.drawingml.chart+xml"/>
  <Override PartName="/word/theme/themeOverride5.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FD2" w:rsidRDefault="00C56FD2" w:rsidP="00C47E5D">
      <w:pPr>
        <w:spacing w:line="240" w:lineRule="auto"/>
        <w:jc w:val="center"/>
        <w:rPr>
          <w:rFonts w:cs="Times New Roman"/>
          <w:sz w:val="36"/>
        </w:rPr>
      </w:pPr>
      <w:r>
        <w:rPr>
          <w:rFonts w:cs="Times New Roman"/>
          <w:sz w:val="36"/>
        </w:rPr>
        <w:t>Caribbean Advanced Proficiency Examination</w:t>
      </w:r>
    </w:p>
    <w:p w:rsidR="00D03C7F" w:rsidRDefault="00FF705A" w:rsidP="00C47E5D">
      <w:pPr>
        <w:spacing w:line="240" w:lineRule="auto"/>
        <w:jc w:val="center"/>
        <w:rPr>
          <w:rFonts w:cs="Times New Roman"/>
          <w:sz w:val="36"/>
        </w:rPr>
      </w:pPr>
      <w:r w:rsidRPr="00FF705A">
        <w:rPr>
          <w:rFonts w:cs="Times New Roman"/>
          <w:sz w:val="36"/>
        </w:rPr>
        <w:t>Accounting Internal Assessment</w:t>
      </w:r>
    </w:p>
    <w:p w:rsidR="00FF705A" w:rsidRDefault="00FF705A" w:rsidP="00C47E5D">
      <w:pPr>
        <w:spacing w:line="240" w:lineRule="auto"/>
        <w:jc w:val="center"/>
      </w:pPr>
      <w:r>
        <w:rPr>
          <w:noProof/>
        </w:rPr>
        <w:drawing>
          <wp:inline distT="0" distB="0" distL="0" distR="0" wp14:anchorId="52D8F346" wp14:editId="67F9A875">
            <wp:extent cx="2924175" cy="1783748"/>
            <wp:effectExtent l="0" t="0" r="0" b="6985"/>
            <wp:docPr id="1" name="Picture 1" descr="C:\Users\User\Documents\fighting files\IMPORTANT 6th form\Accounting\IA Images\03224d1fcb0108937e9b07deb18cf473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fighting files\IMPORTANT 6th form\Accounting\IA Images\03224d1fcb0108937e9b07deb18cf473_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1783748"/>
                    </a:xfrm>
                    <a:prstGeom prst="rect">
                      <a:avLst/>
                    </a:prstGeom>
                    <a:noFill/>
                    <a:ln>
                      <a:noFill/>
                    </a:ln>
                  </pic:spPr>
                </pic:pic>
              </a:graphicData>
            </a:graphic>
          </wp:inline>
        </w:drawing>
      </w:r>
    </w:p>
    <w:p w:rsidR="003F4A36" w:rsidRDefault="003F4A36" w:rsidP="00C47E5D">
      <w:pPr>
        <w:spacing w:line="360" w:lineRule="auto"/>
        <w:rPr>
          <w:rFonts w:cs="Times New Roman"/>
          <w:b/>
        </w:rPr>
      </w:pPr>
      <w:r w:rsidRPr="00314344">
        <w:t xml:space="preserve">Topic: An assessment into the financial statements of </w:t>
      </w:r>
      <w:r>
        <w:t xml:space="preserve">LASCO Manufacturing Limited </w:t>
      </w:r>
      <w:r w:rsidRPr="00314344">
        <w:t>between the years 2019 to 2020 to determine the performance of the business through ratio analysis in terms of profitability and liquidity</w:t>
      </w:r>
    </w:p>
    <w:p w:rsidR="00FF705A" w:rsidRPr="003F4A36" w:rsidRDefault="00FF705A" w:rsidP="00C47E5D">
      <w:pPr>
        <w:rPr>
          <w:rFonts w:cs="Times New Roman"/>
        </w:rPr>
      </w:pPr>
      <w:r w:rsidRPr="003F4A36">
        <w:rPr>
          <w:rFonts w:cs="Times New Roman"/>
          <w:b/>
        </w:rPr>
        <w:t>Centre:</w:t>
      </w:r>
      <w:r w:rsidRPr="003F4A36">
        <w:rPr>
          <w:rFonts w:cs="Times New Roman"/>
        </w:rPr>
        <w:t xml:space="preserve"> Mona High </w:t>
      </w:r>
      <w:r w:rsidR="003F4A36" w:rsidRPr="003F4A36">
        <w:rPr>
          <w:rFonts w:cs="Times New Roman"/>
        </w:rPr>
        <w:t>School</w:t>
      </w:r>
    </w:p>
    <w:p w:rsidR="00FF705A" w:rsidRPr="003F4A36" w:rsidRDefault="00FF705A" w:rsidP="00C47E5D">
      <w:pPr>
        <w:rPr>
          <w:rFonts w:cs="Times New Roman"/>
        </w:rPr>
      </w:pPr>
      <w:r w:rsidRPr="003F4A36">
        <w:rPr>
          <w:rFonts w:cs="Times New Roman"/>
          <w:b/>
        </w:rPr>
        <w:t>Centre Number:</w:t>
      </w:r>
      <w:r w:rsidRPr="003F4A36">
        <w:rPr>
          <w:rFonts w:cs="Times New Roman"/>
        </w:rPr>
        <w:t xml:space="preserve"> 100152</w:t>
      </w:r>
    </w:p>
    <w:p w:rsidR="00226440" w:rsidRPr="003F4A36" w:rsidRDefault="00FF705A" w:rsidP="00C47E5D">
      <w:pPr>
        <w:spacing w:line="240" w:lineRule="auto"/>
        <w:rPr>
          <w:rFonts w:cs="Times New Roman"/>
          <w:b/>
        </w:rPr>
      </w:pPr>
      <w:r w:rsidRPr="003F4A36">
        <w:rPr>
          <w:rFonts w:cs="Times New Roman"/>
          <w:b/>
        </w:rPr>
        <w:t>Name of Candidates:</w:t>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r>
      <w:r w:rsidR="00226440" w:rsidRPr="003F4A36">
        <w:rPr>
          <w:rFonts w:cs="Times New Roman"/>
          <w:b/>
        </w:rPr>
        <w:t>Candidate’s Number</w:t>
      </w:r>
      <w:r w:rsidR="003F4A36" w:rsidRPr="003F4A36">
        <w:rPr>
          <w:rFonts w:cs="Times New Roman"/>
          <w:b/>
        </w:rPr>
        <w:t>:</w:t>
      </w:r>
    </w:p>
    <w:p w:rsidR="00226440" w:rsidRPr="003F4A36" w:rsidRDefault="00226440" w:rsidP="00561AAF">
      <w:pPr>
        <w:rPr>
          <w:rFonts w:cs="Times New Roman"/>
        </w:rPr>
      </w:pPr>
      <w:r w:rsidRPr="003F4A36">
        <w:rPr>
          <w:rFonts w:cs="Times New Roman"/>
        </w:rPr>
        <w:t>Syee Dassado</w:t>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t>1001520219</w:t>
      </w:r>
    </w:p>
    <w:p w:rsidR="00226440" w:rsidRPr="003F4A36" w:rsidRDefault="00226440" w:rsidP="00561AAF">
      <w:pPr>
        <w:rPr>
          <w:rFonts w:cs="Times New Roman"/>
        </w:rPr>
      </w:pPr>
      <w:r w:rsidRPr="003F4A36">
        <w:rPr>
          <w:rFonts w:cs="Times New Roman"/>
        </w:rPr>
        <w:t>Chevannese Ellis</w:t>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t>1001520286</w:t>
      </w:r>
    </w:p>
    <w:p w:rsidR="00226440" w:rsidRPr="003F4A36" w:rsidRDefault="00226440" w:rsidP="00561AAF">
      <w:pPr>
        <w:rPr>
          <w:rFonts w:cs="Times New Roman"/>
        </w:rPr>
      </w:pPr>
      <w:r w:rsidRPr="003F4A36">
        <w:rPr>
          <w:rFonts w:cs="Times New Roman"/>
        </w:rPr>
        <w:t>Joel Trowers</w:t>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t>1001520782</w:t>
      </w:r>
    </w:p>
    <w:p w:rsidR="00FF705A" w:rsidRPr="003F4A36" w:rsidRDefault="00C56FD2" w:rsidP="00561AAF">
      <w:pPr>
        <w:rPr>
          <w:rFonts w:cs="Times New Roman"/>
        </w:rPr>
      </w:pPr>
      <w:r w:rsidRPr="003F4A36">
        <w:rPr>
          <w:rFonts w:cs="Times New Roman"/>
        </w:rPr>
        <w:t>Jevane Ricketts</w:t>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r>
      <w:r w:rsidR="003F4A36" w:rsidRPr="003F4A36">
        <w:rPr>
          <w:rFonts w:cs="Times New Roman"/>
        </w:rPr>
        <w:tab/>
      </w:r>
      <w:r w:rsidR="00E83C57">
        <w:rPr>
          <w:color w:val="000000"/>
        </w:rPr>
        <w:t>1001520677</w:t>
      </w:r>
    </w:p>
    <w:p w:rsidR="00C56FD2" w:rsidRPr="003F4A36" w:rsidRDefault="00C56FD2" w:rsidP="00561AAF">
      <w:pPr>
        <w:rPr>
          <w:rFonts w:cs="Times New Roman"/>
        </w:rPr>
      </w:pPr>
      <w:r w:rsidRPr="003F4A36">
        <w:rPr>
          <w:rFonts w:cs="Times New Roman"/>
          <w:b/>
        </w:rPr>
        <w:t>Teacher:</w:t>
      </w:r>
      <w:r w:rsidR="003F4A36" w:rsidRPr="003F4A36">
        <w:rPr>
          <w:rFonts w:cs="Times New Roman"/>
        </w:rPr>
        <w:t xml:space="preserve"> M</w:t>
      </w:r>
      <w:r w:rsidRPr="003F4A36">
        <w:rPr>
          <w:rFonts w:cs="Times New Roman"/>
        </w:rPr>
        <w:t>s. Sasha Laing</w:t>
      </w:r>
    </w:p>
    <w:p w:rsidR="00C56FD2" w:rsidRPr="003F4A36" w:rsidRDefault="00C56FD2" w:rsidP="00561AAF">
      <w:pPr>
        <w:rPr>
          <w:rFonts w:cs="Times New Roman"/>
        </w:rPr>
      </w:pPr>
      <w:r w:rsidRPr="003F4A36">
        <w:rPr>
          <w:rFonts w:cs="Times New Roman"/>
          <w:b/>
        </w:rPr>
        <w:t>Territory:</w:t>
      </w:r>
      <w:r w:rsidRPr="003F4A36">
        <w:rPr>
          <w:rFonts w:cs="Times New Roman"/>
        </w:rPr>
        <w:t xml:space="preserve"> Jamaica</w:t>
      </w:r>
    </w:p>
    <w:p w:rsidR="00DD308A" w:rsidRPr="00DD308A" w:rsidRDefault="00C56FD2" w:rsidP="00DD308A">
      <w:pPr>
        <w:rPr>
          <w:rFonts w:cs="Times New Roman"/>
        </w:rPr>
      </w:pPr>
      <w:r w:rsidRPr="003F4A36">
        <w:rPr>
          <w:rFonts w:cs="Times New Roman"/>
          <w:b/>
        </w:rPr>
        <w:t>Year:</w:t>
      </w:r>
      <w:r w:rsidRPr="003F4A36">
        <w:rPr>
          <w:rFonts w:cs="Times New Roman"/>
        </w:rPr>
        <w:t xml:space="preserve"> 2021-2022</w:t>
      </w:r>
      <w:r w:rsidR="00314344">
        <w:br w:type="page"/>
      </w:r>
    </w:p>
    <w:sdt>
      <w:sdtPr>
        <w:rPr>
          <w:rFonts w:ascii="Times New Roman" w:eastAsiaTheme="minorHAnsi" w:hAnsi="Times New Roman" w:cstheme="minorBidi"/>
          <w:bCs w:val="0"/>
          <w:color w:val="auto"/>
          <w:sz w:val="24"/>
          <w:szCs w:val="22"/>
          <w:lang w:eastAsia="en-US"/>
        </w:rPr>
        <w:id w:val="458694931"/>
        <w:docPartObj>
          <w:docPartGallery w:val="Table of Contents"/>
          <w:docPartUnique/>
        </w:docPartObj>
      </w:sdtPr>
      <w:sdtEndPr>
        <w:rPr>
          <w:b/>
          <w:noProof/>
        </w:rPr>
      </w:sdtEndPr>
      <w:sdtContent>
        <w:p w:rsidR="005B2170" w:rsidRPr="005B2170" w:rsidRDefault="005B2170" w:rsidP="00DD308A">
          <w:pPr>
            <w:pStyle w:val="TOCHeading"/>
            <w:spacing w:line="480" w:lineRule="auto"/>
            <w:jc w:val="center"/>
            <w:rPr>
              <w:rFonts w:asciiTheme="minorHAnsi" w:hAnsiTheme="minorHAnsi" w:cs="Times New Roman"/>
              <w:b/>
              <w:i/>
              <w:color w:val="000000" w:themeColor="text1"/>
              <w:sz w:val="48"/>
              <w:szCs w:val="48"/>
            </w:rPr>
          </w:pPr>
          <w:r w:rsidRPr="005B2170">
            <w:rPr>
              <w:rFonts w:asciiTheme="minorHAnsi" w:hAnsiTheme="minorHAnsi" w:cs="Times New Roman"/>
              <w:b/>
              <w:i/>
              <w:color w:val="000000" w:themeColor="text1"/>
              <w:sz w:val="48"/>
              <w:szCs w:val="48"/>
            </w:rPr>
            <w:t>Table of Contents</w:t>
          </w:r>
        </w:p>
        <w:p w:rsidR="005B2170" w:rsidRPr="005B2170" w:rsidRDefault="005B2170" w:rsidP="005B2170">
          <w:pPr>
            <w:pStyle w:val="TOC1"/>
            <w:spacing w:line="480" w:lineRule="auto"/>
            <w:rPr>
              <w:rFonts w:ascii="Times New Roman" w:eastAsiaTheme="minorEastAsia" w:hAnsi="Times New Roman" w:cs="Times New Roman"/>
              <w:b w:val="0"/>
              <w:i w:val="0"/>
              <w:noProof/>
              <w:sz w:val="24"/>
              <w:szCs w:val="24"/>
            </w:rPr>
          </w:pPr>
          <w:r w:rsidRPr="005B2170">
            <w:rPr>
              <w:rFonts w:ascii="Times New Roman" w:hAnsi="Times New Roman" w:cs="Times New Roman"/>
              <w:i w:val="0"/>
              <w:sz w:val="24"/>
              <w:szCs w:val="24"/>
            </w:rPr>
            <w:fldChar w:fldCharType="begin"/>
          </w:r>
          <w:r w:rsidRPr="005B2170">
            <w:rPr>
              <w:rFonts w:ascii="Times New Roman" w:hAnsi="Times New Roman" w:cs="Times New Roman"/>
              <w:i w:val="0"/>
              <w:sz w:val="24"/>
              <w:szCs w:val="24"/>
            </w:rPr>
            <w:instrText xml:space="preserve"> TOC \o "1-3" \h \z \u </w:instrText>
          </w:r>
          <w:r w:rsidRPr="005B2170">
            <w:rPr>
              <w:rFonts w:ascii="Times New Roman" w:hAnsi="Times New Roman" w:cs="Times New Roman"/>
              <w:i w:val="0"/>
              <w:sz w:val="24"/>
              <w:szCs w:val="24"/>
            </w:rPr>
            <w:fldChar w:fldCharType="separate"/>
          </w:r>
          <w:hyperlink w:anchor="_Toc98509736" w:history="1">
            <w:r w:rsidRPr="005B2170">
              <w:rPr>
                <w:rStyle w:val="Hyperlink"/>
                <w:rFonts w:ascii="Times New Roman" w:hAnsi="Times New Roman" w:cs="Times New Roman"/>
                <w:b w:val="0"/>
                <w:i w:val="0"/>
                <w:noProof/>
                <w:sz w:val="24"/>
                <w:szCs w:val="24"/>
              </w:rPr>
              <w:t>Acknowledgement</w:t>
            </w:r>
            <w:r w:rsidRPr="005B2170">
              <w:rPr>
                <w:rFonts w:ascii="Times New Roman" w:hAnsi="Times New Roman" w:cs="Times New Roman"/>
                <w:b w:val="0"/>
                <w:i w:val="0"/>
                <w:noProof/>
                <w:webHidden/>
                <w:sz w:val="24"/>
                <w:szCs w:val="24"/>
              </w:rPr>
              <w:tab/>
            </w:r>
            <w:r w:rsidRPr="005B2170">
              <w:rPr>
                <w:rFonts w:ascii="Times New Roman" w:hAnsi="Times New Roman" w:cs="Times New Roman"/>
                <w:b w:val="0"/>
                <w:i w:val="0"/>
                <w:noProof/>
                <w:webHidden/>
                <w:sz w:val="24"/>
                <w:szCs w:val="24"/>
              </w:rPr>
              <w:fldChar w:fldCharType="begin"/>
            </w:r>
            <w:r w:rsidRPr="005B2170">
              <w:rPr>
                <w:rFonts w:ascii="Times New Roman" w:hAnsi="Times New Roman" w:cs="Times New Roman"/>
                <w:b w:val="0"/>
                <w:i w:val="0"/>
                <w:noProof/>
                <w:webHidden/>
                <w:sz w:val="24"/>
                <w:szCs w:val="24"/>
              </w:rPr>
              <w:instrText xml:space="preserve"> PAGEREF _Toc98509736 \h </w:instrText>
            </w:r>
            <w:r w:rsidRPr="005B2170">
              <w:rPr>
                <w:rFonts w:ascii="Times New Roman" w:hAnsi="Times New Roman" w:cs="Times New Roman"/>
                <w:b w:val="0"/>
                <w:i w:val="0"/>
                <w:noProof/>
                <w:webHidden/>
                <w:sz w:val="24"/>
                <w:szCs w:val="24"/>
              </w:rPr>
            </w:r>
            <w:r w:rsidRPr="005B2170">
              <w:rPr>
                <w:rFonts w:ascii="Times New Roman" w:hAnsi="Times New Roman" w:cs="Times New Roman"/>
                <w:b w:val="0"/>
                <w:i w:val="0"/>
                <w:noProof/>
                <w:webHidden/>
                <w:sz w:val="24"/>
                <w:szCs w:val="24"/>
              </w:rPr>
              <w:fldChar w:fldCharType="separate"/>
            </w:r>
            <w:r w:rsidR="0013311D">
              <w:rPr>
                <w:rFonts w:ascii="Times New Roman" w:hAnsi="Times New Roman" w:cs="Times New Roman"/>
                <w:b w:val="0"/>
                <w:i w:val="0"/>
                <w:noProof/>
                <w:webHidden/>
                <w:sz w:val="24"/>
                <w:szCs w:val="24"/>
              </w:rPr>
              <w:t>III</w:t>
            </w:r>
            <w:r w:rsidRPr="005B2170">
              <w:rPr>
                <w:rFonts w:ascii="Times New Roman" w:hAnsi="Times New Roman" w:cs="Times New Roman"/>
                <w:b w:val="0"/>
                <w:i w:val="0"/>
                <w:noProof/>
                <w:webHidden/>
                <w:sz w:val="24"/>
                <w:szCs w:val="24"/>
              </w:rPr>
              <w:fldChar w:fldCharType="end"/>
            </w:r>
          </w:hyperlink>
        </w:p>
        <w:p w:rsidR="005B2170" w:rsidRPr="005B2170" w:rsidRDefault="002377E0" w:rsidP="005B2170">
          <w:pPr>
            <w:pStyle w:val="TOC1"/>
            <w:spacing w:line="480" w:lineRule="auto"/>
            <w:rPr>
              <w:rFonts w:ascii="Times New Roman" w:eastAsiaTheme="minorEastAsia" w:hAnsi="Times New Roman" w:cs="Times New Roman"/>
              <w:b w:val="0"/>
              <w:i w:val="0"/>
              <w:noProof/>
              <w:sz w:val="24"/>
              <w:szCs w:val="24"/>
            </w:rPr>
          </w:pPr>
          <w:hyperlink w:anchor="_Toc98509737" w:history="1">
            <w:r w:rsidR="005B2170" w:rsidRPr="005B2170">
              <w:rPr>
                <w:rStyle w:val="Hyperlink"/>
                <w:rFonts w:ascii="Times New Roman" w:hAnsi="Times New Roman" w:cs="Times New Roman"/>
                <w:b w:val="0"/>
                <w:i w:val="0"/>
                <w:noProof/>
                <w:sz w:val="24"/>
                <w:szCs w:val="24"/>
              </w:rPr>
              <w:t>Introduction</w:t>
            </w:r>
            <w:r w:rsidR="005B2170" w:rsidRPr="005B2170">
              <w:rPr>
                <w:rFonts w:ascii="Times New Roman" w:hAnsi="Times New Roman" w:cs="Times New Roman"/>
                <w:b w:val="0"/>
                <w:i w:val="0"/>
                <w:noProof/>
                <w:webHidden/>
                <w:sz w:val="24"/>
                <w:szCs w:val="24"/>
              </w:rPr>
              <w:tab/>
            </w:r>
            <w:r w:rsidR="005B2170" w:rsidRPr="005B2170">
              <w:rPr>
                <w:rFonts w:ascii="Times New Roman" w:hAnsi="Times New Roman" w:cs="Times New Roman"/>
                <w:b w:val="0"/>
                <w:i w:val="0"/>
                <w:noProof/>
                <w:webHidden/>
                <w:sz w:val="24"/>
                <w:szCs w:val="24"/>
              </w:rPr>
              <w:fldChar w:fldCharType="begin"/>
            </w:r>
            <w:r w:rsidR="005B2170" w:rsidRPr="005B2170">
              <w:rPr>
                <w:rFonts w:ascii="Times New Roman" w:hAnsi="Times New Roman" w:cs="Times New Roman"/>
                <w:b w:val="0"/>
                <w:i w:val="0"/>
                <w:noProof/>
                <w:webHidden/>
                <w:sz w:val="24"/>
                <w:szCs w:val="24"/>
              </w:rPr>
              <w:instrText xml:space="preserve"> PAGEREF _Toc98509737 \h </w:instrText>
            </w:r>
            <w:r w:rsidR="005B2170" w:rsidRPr="005B2170">
              <w:rPr>
                <w:rFonts w:ascii="Times New Roman" w:hAnsi="Times New Roman" w:cs="Times New Roman"/>
                <w:b w:val="0"/>
                <w:i w:val="0"/>
                <w:noProof/>
                <w:webHidden/>
                <w:sz w:val="24"/>
                <w:szCs w:val="24"/>
              </w:rPr>
            </w:r>
            <w:r w:rsidR="005B2170" w:rsidRPr="005B2170">
              <w:rPr>
                <w:rFonts w:ascii="Times New Roman" w:hAnsi="Times New Roman" w:cs="Times New Roman"/>
                <w:b w:val="0"/>
                <w:i w:val="0"/>
                <w:noProof/>
                <w:webHidden/>
                <w:sz w:val="24"/>
                <w:szCs w:val="24"/>
              </w:rPr>
              <w:fldChar w:fldCharType="separate"/>
            </w:r>
            <w:r w:rsidR="0013311D">
              <w:rPr>
                <w:rFonts w:ascii="Times New Roman" w:hAnsi="Times New Roman" w:cs="Times New Roman"/>
                <w:b w:val="0"/>
                <w:i w:val="0"/>
                <w:noProof/>
                <w:webHidden/>
                <w:sz w:val="24"/>
                <w:szCs w:val="24"/>
              </w:rPr>
              <w:t>IV</w:t>
            </w:r>
            <w:r w:rsidR="005B2170" w:rsidRPr="005B2170">
              <w:rPr>
                <w:rFonts w:ascii="Times New Roman" w:hAnsi="Times New Roman" w:cs="Times New Roman"/>
                <w:b w:val="0"/>
                <w:i w:val="0"/>
                <w:noProof/>
                <w:webHidden/>
                <w:sz w:val="24"/>
                <w:szCs w:val="24"/>
              </w:rPr>
              <w:fldChar w:fldCharType="end"/>
            </w:r>
          </w:hyperlink>
        </w:p>
        <w:p w:rsidR="005B2170" w:rsidRPr="005B2170" w:rsidRDefault="002377E0" w:rsidP="005B2170">
          <w:pPr>
            <w:pStyle w:val="TOC1"/>
            <w:spacing w:line="480" w:lineRule="auto"/>
            <w:rPr>
              <w:rFonts w:ascii="Times New Roman" w:eastAsiaTheme="minorEastAsia" w:hAnsi="Times New Roman" w:cs="Times New Roman"/>
              <w:b w:val="0"/>
              <w:i w:val="0"/>
              <w:noProof/>
              <w:sz w:val="24"/>
              <w:szCs w:val="24"/>
            </w:rPr>
          </w:pPr>
          <w:hyperlink w:anchor="_Toc98509738" w:history="1">
            <w:r w:rsidR="005B2170" w:rsidRPr="005B2170">
              <w:rPr>
                <w:rStyle w:val="Hyperlink"/>
                <w:rFonts w:ascii="Times New Roman" w:hAnsi="Times New Roman" w:cs="Times New Roman"/>
                <w:b w:val="0"/>
                <w:i w:val="0"/>
                <w:noProof/>
                <w:sz w:val="24"/>
                <w:szCs w:val="24"/>
              </w:rPr>
              <w:t>Topic</w:t>
            </w:r>
            <w:r w:rsidR="005B2170" w:rsidRPr="005B2170">
              <w:rPr>
                <w:rFonts w:ascii="Times New Roman" w:hAnsi="Times New Roman" w:cs="Times New Roman"/>
                <w:b w:val="0"/>
                <w:i w:val="0"/>
                <w:noProof/>
                <w:webHidden/>
                <w:sz w:val="24"/>
                <w:szCs w:val="24"/>
              </w:rPr>
              <w:tab/>
            </w:r>
            <w:r w:rsidR="005B2170" w:rsidRPr="005B2170">
              <w:rPr>
                <w:rFonts w:ascii="Times New Roman" w:hAnsi="Times New Roman" w:cs="Times New Roman"/>
                <w:b w:val="0"/>
                <w:i w:val="0"/>
                <w:noProof/>
                <w:webHidden/>
                <w:sz w:val="24"/>
                <w:szCs w:val="24"/>
              </w:rPr>
              <w:fldChar w:fldCharType="begin"/>
            </w:r>
            <w:r w:rsidR="005B2170" w:rsidRPr="005B2170">
              <w:rPr>
                <w:rFonts w:ascii="Times New Roman" w:hAnsi="Times New Roman" w:cs="Times New Roman"/>
                <w:b w:val="0"/>
                <w:i w:val="0"/>
                <w:noProof/>
                <w:webHidden/>
                <w:sz w:val="24"/>
                <w:szCs w:val="24"/>
              </w:rPr>
              <w:instrText xml:space="preserve"> PAGEREF _Toc98509738 \h </w:instrText>
            </w:r>
            <w:r w:rsidR="005B2170" w:rsidRPr="005B2170">
              <w:rPr>
                <w:rFonts w:ascii="Times New Roman" w:hAnsi="Times New Roman" w:cs="Times New Roman"/>
                <w:b w:val="0"/>
                <w:i w:val="0"/>
                <w:noProof/>
                <w:webHidden/>
                <w:sz w:val="24"/>
                <w:szCs w:val="24"/>
              </w:rPr>
            </w:r>
            <w:r w:rsidR="005B2170" w:rsidRPr="005B2170">
              <w:rPr>
                <w:rFonts w:ascii="Times New Roman" w:hAnsi="Times New Roman" w:cs="Times New Roman"/>
                <w:b w:val="0"/>
                <w:i w:val="0"/>
                <w:noProof/>
                <w:webHidden/>
                <w:sz w:val="24"/>
                <w:szCs w:val="24"/>
              </w:rPr>
              <w:fldChar w:fldCharType="separate"/>
            </w:r>
            <w:r w:rsidR="0013311D">
              <w:rPr>
                <w:rFonts w:ascii="Times New Roman" w:hAnsi="Times New Roman" w:cs="Times New Roman"/>
                <w:b w:val="0"/>
                <w:i w:val="0"/>
                <w:noProof/>
                <w:webHidden/>
                <w:sz w:val="24"/>
                <w:szCs w:val="24"/>
              </w:rPr>
              <w:t>V</w:t>
            </w:r>
            <w:r w:rsidR="005B2170" w:rsidRPr="005B2170">
              <w:rPr>
                <w:rFonts w:ascii="Times New Roman" w:hAnsi="Times New Roman" w:cs="Times New Roman"/>
                <w:b w:val="0"/>
                <w:i w:val="0"/>
                <w:noProof/>
                <w:webHidden/>
                <w:sz w:val="24"/>
                <w:szCs w:val="24"/>
              </w:rPr>
              <w:fldChar w:fldCharType="end"/>
            </w:r>
          </w:hyperlink>
        </w:p>
        <w:p w:rsidR="005B2170" w:rsidRPr="005B2170" w:rsidRDefault="002377E0" w:rsidP="005B2170">
          <w:pPr>
            <w:pStyle w:val="TOC1"/>
            <w:spacing w:line="480" w:lineRule="auto"/>
            <w:rPr>
              <w:rFonts w:ascii="Times New Roman" w:eastAsiaTheme="minorEastAsia" w:hAnsi="Times New Roman" w:cs="Times New Roman"/>
              <w:b w:val="0"/>
              <w:i w:val="0"/>
              <w:noProof/>
              <w:sz w:val="24"/>
              <w:szCs w:val="24"/>
            </w:rPr>
          </w:pPr>
          <w:hyperlink w:anchor="_Toc98509739" w:history="1">
            <w:r w:rsidR="005B2170" w:rsidRPr="005B2170">
              <w:rPr>
                <w:rStyle w:val="Hyperlink"/>
                <w:rFonts w:ascii="Times New Roman" w:hAnsi="Times New Roman" w:cs="Times New Roman"/>
                <w:b w:val="0"/>
                <w:i w:val="0"/>
                <w:noProof/>
                <w:sz w:val="24"/>
                <w:szCs w:val="24"/>
              </w:rPr>
              <w:t>Objectives</w:t>
            </w:r>
            <w:r w:rsidR="005B2170" w:rsidRPr="005B2170">
              <w:rPr>
                <w:rFonts w:ascii="Times New Roman" w:hAnsi="Times New Roman" w:cs="Times New Roman"/>
                <w:b w:val="0"/>
                <w:i w:val="0"/>
                <w:noProof/>
                <w:webHidden/>
                <w:sz w:val="24"/>
                <w:szCs w:val="24"/>
              </w:rPr>
              <w:tab/>
            </w:r>
            <w:r w:rsidR="005B2170" w:rsidRPr="005B2170">
              <w:rPr>
                <w:rFonts w:ascii="Times New Roman" w:hAnsi="Times New Roman" w:cs="Times New Roman"/>
                <w:b w:val="0"/>
                <w:i w:val="0"/>
                <w:noProof/>
                <w:webHidden/>
                <w:sz w:val="24"/>
                <w:szCs w:val="24"/>
              </w:rPr>
              <w:fldChar w:fldCharType="begin"/>
            </w:r>
            <w:r w:rsidR="005B2170" w:rsidRPr="005B2170">
              <w:rPr>
                <w:rFonts w:ascii="Times New Roman" w:hAnsi="Times New Roman" w:cs="Times New Roman"/>
                <w:b w:val="0"/>
                <w:i w:val="0"/>
                <w:noProof/>
                <w:webHidden/>
                <w:sz w:val="24"/>
                <w:szCs w:val="24"/>
              </w:rPr>
              <w:instrText xml:space="preserve"> PAGEREF _Toc98509739 \h </w:instrText>
            </w:r>
            <w:r w:rsidR="005B2170" w:rsidRPr="005B2170">
              <w:rPr>
                <w:rFonts w:ascii="Times New Roman" w:hAnsi="Times New Roman" w:cs="Times New Roman"/>
                <w:b w:val="0"/>
                <w:i w:val="0"/>
                <w:noProof/>
                <w:webHidden/>
                <w:sz w:val="24"/>
                <w:szCs w:val="24"/>
              </w:rPr>
            </w:r>
            <w:r w:rsidR="005B2170" w:rsidRPr="005B2170">
              <w:rPr>
                <w:rFonts w:ascii="Times New Roman" w:hAnsi="Times New Roman" w:cs="Times New Roman"/>
                <w:b w:val="0"/>
                <w:i w:val="0"/>
                <w:noProof/>
                <w:webHidden/>
                <w:sz w:val="24"/>
                <w:szCs w:val="24"/>
              </w:rPr>
              <w:fldChar w:fldCharType="separate"/>
            </w:r>
            <w:r w:rsidR="0013311D">
              <w:rPr>
                <w:rFonts w:ascii="Times New Roman" w:hAnsi="Times New Roman" w:cs="Times New Roman"/>
                <w:b w:val="0"/>
                <w:i w:val="0"/>
                <w:noProof/>
                <w:webHidden/>
                <w:sz w:val="24"/>
                <w:szCs w:val="24"/>
              </w:rPr>
              <w:t>VI</w:t>
            </w:r>
            <w:r w:rsidR="005B2170" w:rsidRPr="005B2170">
              <w:rPr>
                <w:rFonts w:ascii="Times New Roman" w:hAnsi="Times New Roman" w:cs="Times New Roman"/>
                <w:b w:val="0"/>
                <w:i w:val="0"/>
                <w:noProof/>
                <w:webHidden/>
                <w:sz w:val="24"/>
                <w:szCs w:val="24"/>
              </w:rPr>
              <w:fldChar w:fldCharType="end"/>
            </w:r>
          </w:hyperlink>
        </w:p>
        <w:p w:rsidR="005B2170" w:rsidRPr="005B2170" w:rsidRDefault="002377E0" w:rsidP="005B2170">
          <w:pPr>
            <w:pStyle w:val="TOC1"/>
            <w:spacing w:line="480" w:lineRule="auto"/>
            <w:rPr>
              <w:rFonts w:ascii="Times New Roman" w:eastAsiaTheme="minorEastAsia" w:hAnsi="Times New Roman" w:cs="Times New Roman"/>
              <w:b w:val="0"/>
              <w:i w:val="0"/>
              <w:noProof/>
              <w:sz w:val="24"/>
              <w:szCs w:val="24"/>
            </w:rPr>
          </w:pPr>
          <w:hyperlink w:anchor="_Toc98509740" w:history="1">
            <w:r w:rsidR="005B2170" w:rsidRPr="005B2170">
              <w:rPr>
                <w:rStyle w:val="Hyperlink"/>
                <w:rFonts w:ascii="Times New Roman" w:hAnsi="Times New Roman" w:cs="Times New Roman"/>
                <w:b w:val="0"/>
                <w:i w:val="0"/>
                <w:noProof/>
                <w:sz w:val="24"/>
                <w:szCs w:val="24"/>
              </w:rPr>
              <w:t>Literature Review</w:t>
            </w:r>
            <w:r w:rsidR="005B2170" w:rsidRPr="005B2170">
              <w:rPr>
                <w:rFonts w:ascii="Times New Roman" w:hAnsi="Times New Roman" w:cs="Times New Roman"/>
                <w:b w:val="0"/>
                <w:i w:val="0"/>
                <w:noProof/>
                <w:webHidden/>
                <w:sz w:val="24"/>
                <w:szCs w:val="24"/>
              </w:rPr>
              <w:tab/>
            </w:r>
            <w:r w:rsidR="005B2170" w:rsidRPr="005B2170">
              <w:rPr>
                <w:rFonts w:ascii="Times New Roman" w:hAnsi="Times New Roman" w:cs="Times New Roman"/>
                <w:b w:val="0"/>
                <w:i w:val="0"/>
                <w:noProof/>
                <w:webHidden/>
                <w:sz w:val="24"/>
                <w:szCs w:val="24"/>
              </w:rPr>
              <w:fldChar w:fldCharType="begin"/>
            </w:r>
            <w:r w:rsidR="005B2170" w:rsidRPr="005B2170">
              <w:rPr>
                <w:rFonts w:ascii="Times New Roman" w:hAnsi="Times New Roman" w:cs="Times New Roman"/>
                <w:b w:val="0"/>
                <w:i w:val="0"/>
                <w:noProof/>
                <w:webHidden/>
                <w:sz w:val="24"/>
                <w:szCs w:val="24"/>
              </w:rPr>
              <w:instrText xml:space="preserve"> PAGEREF _Toc98509740 \h </w:instrText>
            </w:r>
            <w:r w:rsidR="005B2170" w:rsidRPr="005B2170">
              <w:rPr>
                <w:rFonts w:ascii="Times New Roman" w:hAnsi="Times New Roman" w:cs="Times New Roman"/>
                <w:b w:val="0"/>
                <w:i w:val="0"/>
                <w:noProof/>
                <w:webHidden/>
                <w:sz w:val="24"/>
                <w:szCs w:val="24"/>
              </w:rPr>
            </w:r>
            <w:r w:rsidR="005B2170" w:rsidRPr="005B2170">
              <w:rPr>
                <w:rFonts w:ascii="Times New Roman" w:hAnsi="Times New Roman" w:cs="Times New Roman"/>
                <w:b w:val="0"/>
                <w:i w:val="0"/>
                <w:noProof/>
                <w:webHidden/>
                <w:sz w:val="24"/>
                <w:szCs w:val="24"/>
              </w:rPr>
              <w:fldChar w:fldCharType="separate"/>
            </w:r>
            <w:r w:rsidR="0013311D">
              <w:rPr>
                <w:rFonts w:ascii="Times New Roman" w:hAnsi="Times New Roman" w:cs="Times New Roman"/>
                <w:b w:val="0"/>
                <w:i w:val="0"/>
                <w:noProof/>
                <w:webHidden/>
                <w:sz w:val="24"/>
                <w:szCs w:val="24"/>
              </w:rPr>
              <w:t>VII</w:t>
            </w:r>
            <w:r w:rsidR="005B2170" w:rsidRPr="005B2170">
              <w:rPr>
                <w:rFonts w:ascii="Times New Roman" w:hAnsi="Times New Roman" w:cs="Times New Roman"/>
                <w:b w:val="0"/>
                <w:i w:val="0"/>
                <w:noProof/>
                <w:webHidden/>
                <w:sz w:val="24"/>
                <w:szCs w:val="24"/>
              </w:rPr>
              <w:fldChar w:fldCharType="end"/>
            </w:r>
          </w:hyperlink>
        </w:p>
        <w:p w:rsidR="005B2170" w:rsidRPr="005B2170" w:rsidRDefault="002377E0" w:rsidP="005B2170">
          <w:pPr>
            <w:pStyle w:val="TOC1"/>
            <w:spacing w:line="480" w:lineRule="auto"/>
            <w:rPr>
              <w:rFonts w:ascii="Times New Roman" w:eastAsiaTheme="minorEastAsia" w:hAnsi="Times New Roman" w:cs="Times New Roman"/>
              <w:b w:val="0"/>
              <w:i w:val="0"/>
              <w:noProof/>
              <w:sz w:val="24"/>
              <w:szCs w:val="24"/>
            </w:rPr>
          </w:pPr>
          <w:hyperlink w:anchor="_Toc98509741" w:history="1">
            <w:r w:rsidR="005B2170" w:rsidRPr="005B2170">
              <w:rPr>
                <w:rStyle w:val="Hyperlink"/>
                <w:rFonts w:ascii="Times New Roman" w:eastAsia="Times New Roman" w:hAnsi="Times New Roman" w:cs="Times New Roman"/>
                <w:b w:val="0"/>
                <w:i w:val="0"/>
                <w:noProof/>
                <w:sz w:val="24"/>
                <w:szCs w:val="24"/>
              </w:rPr>
              <w:t>Methodology</w:t>
            </w:r>
            <w:r w:rsidR="005B2170" w:rsidRPr="005B2170">
              <w:rPr>
                <w:rFonts w:ascii="Times New Roman" w:hAnsi="Times New Roman" w:cs="Times New Roman"/>
                <w:b w:val="0"/>
                <w:i w:val="0"/>
                <w:noProof/>
                <w:webHidden/>
                <w:sz w:val="24"/>
                <w:szCs w:val="24"/>
              </w:rPr>
              <w:tab/>
            </w:r>
            <w:r w:rsidR="005B2170" w:rsidRPr="005B2170">
              <w:rPr>
                <w:rFonts w:ascii="Times New Roman" w:hAnsi="Times New Roman" w:cs="Times New Roman"/>
                <w:b w:val="0"/>
                <w:i w:val="0"/>
                <w:noProof/>
                <w:webHidden/>
                <w:sz w:val="24"/>
                <w:szCs w:val="24"/>
              </w:rPr>
              <w:fldChar w:fldCharType="begin"/>
            </w:r>
            <w:r w:rsidR="005B2170" w:rsidRPr="005B2170">
              <w:rPr>
                <w:rFonts w:ascii="Times New Roman" w:hAnsi="Times New Roman" w:cs="Times New Roman"/>
                <w:b w:val="0"/>
                <w:i w:val="0"/>
                <w:noProof/>
                <w:webHidden/>
                <w:sz w:val="24"/>
                <w:szCs w:val="24"/>
              </w:rPr>
              <w:instrText xml:space="preserve"> PAGEREF _Toc98509741 \h </w:instrText>
            </w:r>
            <w:r w:rsidR="005B2170" w:rsidRPr="005B2170">
              <w:rPr>
                <w:rFonts w:ascii="Times New Roman" w:hAnsi="Times New Roman" w:cs="Times New Roman"/>
                <w:b w:val="0"/>
                <w:i w:val="0"/>
                <w:noProof/>
                <w:webHidden/>
                <w:sz w:val="24"/>
                <w:szCs w:val="24"/>
              </w:rPr>
            </w:r>
            <w:r w:rsidR="005B2170" w:rsidRPr="005B2170">
              <w:rPr>
                <w:rFonts w:ascii="Times New Roman" w:hAnsi="Times New Roman" w:cs="Times New Roman"/>
                <w:b w:val="0"/>
                <w:i w:val="0"/>
                <w:noProof/>
                <w:webHidden/>
                <w:sz w:val="24"/>
                <w:szCs w:val="24"/>
              </w:rPr>
              <w:fldChar w:fldCharType="separate"/>
            </w:r>
            <w:r w:rsidR="0013311D">
              <w:rPr>
                <w:rFonts w:ascii="Times New Roman" w:hAnsi="Times New Roman" w:cs="Times New Roman"/>
                <w:b w:val="0"/>
                <w:i w:val="0"/>
                <w:noProof/>
                <w:webHidden/>
                <w:sz w:val="24"/>
                <w:szCs w:val="24"/>
              </w:rPr>
              <w:t>IX</w:t>
            </w:r>
            <w:r w:rsidR="005B2170" w:rsidRPr="005B2170">
              <w:rPr>
                <w:rFonts w:ascii="Times New Roman" w:hAnsi="Times New Roman" w:cs="Times New Roman"/>
                <w:b w:val="0"/>
                <w:i w:val="0"/>
                <w:noProof/>
                <w:webHidden/>
                <w:sz w:val="24"/>
                <w:szCs w:val="24"/>
              </w:rPr>
              <w:fldChar w:fldCharType="end"/>
            </w:r>
          </w:hyperlink>
        </w:p>
        <w:p w:rsidR="005B2170" w:rsidRPr="005B2170" w:rsidRDefault="002377E0" w:rsidP="005B2170">
          <w:pPr>
            <w:pStyle w:val="TOC1"/>
            <w:spacing w:line="480" w:lineRule="auto"/>
            <w:rPr>
              <w:rFonts w:ascii="Times New Roman" w:eastAsiaTheme="minorEastAsia" w:hAnsi="Times New Roman" w:cs="Times New Roman"/>
              <w:b w:val="0"/>
              <w:i w:val="0"/>
              <w:noProof/>
              <w:sz w:val="24"/>
              <w:szCs w:val="24"/>
            </w:rPr>
          </w:pPr>
          <w:hyperlink w:anchor="_Toc98509742" w:history="1">
            <w:r w:rsidR="005B2170" w:rsidRPr="005B2170">
              <w:rPr>
                <w:rStyle w:val="Hyperlink"/>
                <w:rFonts w:ascii="Times New Roman" w:hAnsi="Times New Roman" w:cs="Times New Roman"/>
                <w:b w:val="0"/>
                <w:i w:val="0"/>
                <w:noProof/>
                <w:sz w:val="24"/>
                <w:szCs w:val="24"/>
              </w:rPr>
              <w:t>Presentation of Data</w:t>
            </w:r>
            <w:r w:rsidR="005B2170" w:rsidRPr="005B2170">
              <w:rPr>
                <w:rFonts w:ascii="Times New Roman" w:hAnsi="Times New Roman" w:cs="Times New Roman"/>
                <w:b w:val="0"/>
                <w:i w:val="0"/>
                <w:noProof/>
                <w:webHidden/>
                <w:sz w:val="24"/>
                <w:szCs w:val="24"/>
              </w:rPr>
              <w:tab/>
            </w:r>
            <w:r w:rsidR="005B2170" w:rsidRPr="005B2170">
              <w:rPr>
                <w:rFonts w:ascii="Times New Roman" w:hAnsi="Times New Roman" w:cs="Times New Roman"/>
                <w:b w:val="0"/>
                <w:i w:val="0"/>
                <w:noProof/>
                <w:webHidden/>
                <w:sz w:val="24"/>
                <w:szCs w:val="24"/>
              </w:rPr>
              <w:fldChar w:fldCharType="begin"/>
            </w:r>
            <w:r w:rsidR="005B2170" w:rsidRPr="005B2170">
              <w:rPr>
                <w:rFonts w:ascii="Times New Roman" w:hAnsi="Times New Roman" w:cs="Times New Roman"/>
                <w:b w:val="0"/>
                <w:i w:val="0"/>
                <w:noProof/>
                <w:webHidden/>
                <w:sz w:val="24"/>
                <w:szCs w:val="24"/>
              </w:rPr>
              <w:instrText xml:space="preserve"> PAGEREF _Toc98509742 \h </w:instrText>
            </w:r>
            <w:r w:rsidR="005B2170" w:rsidRPr="005B2170">
              <w:rPr>
                <w:rFonts w:ascii="Times New Roman" w:hAnsi="Times New Roman" w:cs="Times New Roman"/>
                <w:b w:val="0"/>
                <w:i w:val="0"/>
                <w:noProof/>
                <w:webHidden/>
                <w:sz w:val="24"/>
                <w:szCs w:val="24"/>
              </w:rPr>
            </w:r>
            <w:r w:rsidR="005B2170" w:rsidRPr="005B2170">
              <w:rPr>
                <w:rFonts w:ascii="Times New Roman" w:hAnsi="Times New Roman" w:cs="Times New Roman"/>
                <w:b w:val="0"/>
                <w:i w:val="0"/>
                <w:noProof/>
                <w:webHidden/>
                <w:sz w:val="24"/>
                <w:szCs w:val="24"/>
              </w:rPr>
              <w:fldChar w:fldCharType="separate"/>
            </w:r>
            <w:r w:rsidR="0013311D">
              <w:rPr>
                <w:rFonts w:ascii="Times New Roman" w:hAnsi="Times New Roman" w:cs="Times New Roman"/>
                <w:b w:val="0"/>
                <w:i w:val="0"/>
                <w:noProof/>
                <w:webHidden/>
                <w:sz w:val="24"/>
                <w:szCs w:val="24"/>
              </w:rPr>
              <w:t>X</w:t>
            </w:r>
            <w:r w:rsidR="005B2170" w:rsidRPr="005B2170">
              <w:rPr>
                <w:rFonts w:ascii="Times New Roman" w:hAnsi="Times New Roman" w:cs="Times New Roman"/>
                <w:b w:val="0"/>
                <w:i w:val="0"/>
                <w:noProof/>
                <w:webHidden/>
                <w:sz w:val="24"/>
                <w:szCs w:val="24"/>
              </w:rPr>
              <w:fldChar w:fldCharType="end"/>
            </w:r>
          </w:hyperlink>
        </w:p>
        <w:p w:rsidR="005B2170" w:rsidRPr="005B2170" w:rsidRDefault="002377E0" w:rsidP="005B2170">
          <w:pPr>
            <w:pStyle w:val="TOC1"/>
            <w:spacing w:line="480" w:lineRule="auto"/>
            <w:rPr>
              <w:rFonts w:ascii="Times New Roman" w:eastAsiaTheme="minorEastAsia" w:hAnsi="Times New Roman" w:cs="Times New Roman"/>
              <w:b w:val="0"/>
              <w:i w:val="0"/>
              <w:noProof/>
              <w:sz w:val="24"/>
              <w:szCs w:val="24"/>
            </w:rPr>
          </w:pPr>
          <w:hyperlink w:anchor="_Toc98509743" w:history="1">
            <w:r w:rsidR="005B2170" w:rsidRPr="005B2170">
              <w:rPr>
                <w:rStyle w:val="Hyperlink"/>
                <w:rFonts w:ascii="Times New Roman" w:hAnsi="Times New Roman" w:cs="Times New Roman"/>
                <w:b w:val="0"/>
                <w:i w:val="0"/>
                <w:noProof/>
                <w:sz w:val="24"/>
                <w:szCs w:val="24"/>
              </w:rPr>
              <w:t>Data Analysis</w:t>
            </w:r>
            <w:r w:rsidR="005B2170" w:rsidRPr="005B2170">
              <w:rPr>
                <w:rFonts w:ascii="Times New Roman" w:hAnsi="Times New Roman" w:cs="Times New Roman"/>
                <w:b w:val="0"/>
                <w:i w:val="0"/>
                <w:noProof/>
                <w:webHidden/>
                <w:sz w:val="24"/>
                <w:szCs w:val="24"/>
              </w:rPr>
              <w:tab/>
            </w:r>
            <w:r w:rsidR="005B2170" w:rsidRPr="005B2170">
              <w:rPr>
                <w:rFonts w:ascii="Times New Roman" w:hAnsi="Times New Roman" w:cs="Times New Roman"/>
                <w:b w:val="0"/>
                <w:i w:val="0"/>
                <w:noProof/>
                <w:webHidden/>
                <w:sz w:val="24"/>
                <w:szCs w:val="24"/>
              </w:rPr>
              <w:fldChar w:fldCharType="begin"/>
            </w:r>
            <w:r w:rsidR="005B2170" w:rsidRPr="005B2170">
              <w:rPr>
                <w:rFonts w:ascii="Times New Roman" w:hAnsi="Times New Roman" w:cs="Times New Roman"/>
                <w:b w:val="0"/>
                <w:i w:val="0"/>
                <w:noProof/>
                <w:webHidden/>
                <w:sz w:val="24"/>
                <w:szCs w:val="24"/>
              </w:rPr>
              <w:instrText xml:space="preserve"> PAGEREF _Toc98509743 \h </w:instrText>
            </w:r>
            <w:r w:rsidR="005B2170" w:rsidRPr="005B2170">
              <w:rPr>
                <w:rFonts w:ascii="Times New Roman" w:hAnsi="Times New Roman" w:cs="Times New Roman"/>
                <w:b w:val="0"/>
                <w:i w:val="0"/>
                <w:noProof/>
                <w:webHidden/>
                <w:sz w:val="24"/>
                <w:szCs w:val="24"/>
              </w:rPr>
            </w:r>
            <w:r w:rsidR="005B2170" w:rsidRPr="005B2170">
              <w:rPr>
                <w:rFonts w:ascii="Times New Roman" w:hAnsi="Times New Roman" w:cs="Times New Roman"/>
                <w:b w:val="0"/>
                <w:i w:val="0"/>
                <w:noProof/>
                <w:webHidden/>
                <w:sz w:val="24"/>
                <w:szCs w:val="24"/>
              </w:rPr>
              <w:fldChar w:fldCharType="separate"/>
            </w:r>
            <w:r w:rsidR="0013311D">
              <w:rPr>
                <w:rFonts w:ascii="Times New Roman" w:hAnsi="Times New Roman" w:cs="Times New Roman"/>
                <w:b w:val="0"/>
                <w:i w:val="0"/>
                <w:noProof/>
                <w:webHidden/>
                <w:sz w:val="24"/>
                <w:szCs w:val="24"/>
              </w:rPr>
              <w:t>XIII</w:t>
            </w:r>
            <w:r w:rsidR="005B2170" w:rsidRPr="005B2170">
              <w:rPr>
                <w:rFonts w:ascii="Times New Roman" w:hAnsi="Times New Roman" w:cs="Times New Roman"/>
                <w:b w:val="0"/>
                <w:i w:val="0"/>
                <w:noProof/>
                <w:webHidden/>
                <w:sz w:val="24"/>
                <w:szCs w:val="24"/>
              </w:rPr>
              <w:fldChar w:fldCharType="end"/>
            </w:r>
          </w:hyperlink>
        </w:p>
        <w:p w:rsidR="005B2170" w:rsidRPr="005B2170" w:rsidRDefault="002377E0" w:rsidP="005B2170">
          <w:pPr>
            <w:pStyle w:val="TOC1"/>
            <w:spacing w:line="480" w:lineRule="auto"/>
            <w:rPr>
              <w:rFonts w:ascii="Times New Roman" w:eastAsiaTheme="minorEastAsia" w:hAnsi="Times New Roman" w:cs="Times New Roman"/>
              <w:b w:val="0"/>
              <w:i w:val="0"/>
              <w:noProof/>
              <w:sz w:val="24"/>
              <w:szCs w:val="24"/>
            </w:rPr>
          </w:pPr>
          <w:hyperlink w:anchor="_Toc98509744" w:history="1">
            <w:r w:rsidR="005B2170" w:rsidRPr="005B2170">
              <w:rPr>
                <w:rStyle w:val="Hyperlink"/>
                <w:rFonts w:ascii="Times New Roman" w:hAnsi="Times New Roman" w:cs="Times New Roman"/>
                <w:b w:val="0"/>
                <w:i w:val="0"/>
                <w:noProof/>
                <w:sz w:val="24"/>
                <w:szCs w:val="24"/>
              </w:rPr>
              <w:t>Evaluation of Data</w:t>
            </w:r>
            <w:r w:rsidR="005B2170" w:rsidRPr="005B2170">
              <w:rPr>
                <w:rFonts w:ascii="Times New Roman" w:hAnsi="Times New Roman" w:cs="Times New Roman"/>
                <w:b w:val="0"/>
                <w:i w:val="0"/>
                <w:noProof/>
                <w:webHidden/>
                <w:sz w:val="24"/>
                <w:szCs w:val="24"/>
              </w:rPr>
              <w:tab/>
            </w:r>
            <w:r w:rsidR="005B2170" w:rsidRPr="005B2170">
              <w:rPr>
                <w:rFonts w:ascii="Times New Roman" w:hAnsi="Times New Roman" w:cs="Times New Roman"/>
                <w:b w:val="0"/>
                <w:i w:val="0"/>
                <w:noProof/>
                <w:webHidden/>
                <w:sz w:val="24"/>
                <w:szCs w:val="24"/>
              </w:rPr>
              <w:fldChar w:fldCharType="begin"/>
            </w:r>
            <w:r w:rsidR="005B2170" w:rsidRPr="005B2170">
              <w:rPr>
                <w:rFonts w:ascii="Times New Roman" w:hAnsi="Times New Roman" w:cs="Times New Roman"/>
                <w:b w:val="0"/>
                <w:i w:val="0"/>
                <w:noProof/>
                <w:webHidden/>
                <w:sz w:val="24"/>
                <w:szCs w:val="24"/>
              </w:rPr>
              <w:instrText xml:space="preserve"> PAGEREF _Toc98509744 \h </w:instrText>
            </w:r>
            <w:r w:rsidR="005B2170" w:rsidRPr="005B2170">
              <w:rPr>
                <w:rFonts w:ascii="Times New Roman" w:hAnsi="Times New Roman" w:cs="Times New Roman"/>
                <w:b w:val="0"/>
                <w:i w:val="0"/>
                <w:noProof/>
                <w:webHidden/>
                <w:sz w:val="24"/>
                <w:szCs w:val="24"/>
              </w:rPr>
            </w:r>
            <w:r w:rsidR="005B2170" w:rsidRPr="005B2170">
              <w:rPr>
                <w:rFonts w:ascii="Times New Roman" w:hAnsi="Times New Roman" w:cs="Times New Roman"/>
                <w:b w:val="0"/>
                <w:i w:val="0"/>
                <w:noProof/>
                <w:webHidden/>
                <w:sz w:val="24"/>
                <w:szCs w:val="24"/>
              </w:rPr>
              <w:fldChar w:fldCharType="separate"/>
            </w:r>
            <w:r w:rsidR="0013311D">
              <w:rPr>
                <w:rFonts w:ascii="Times New Roman" w:hAnsi="Times New Roman" w:cs="Times New Roman"/>
                <w:b w:val="0"/>
                <w:i w:val="0"/>
                <w:noProof/>
                <w:webHidden/>
                <w:sz w:val="24"/>
                <w:szCs w:val="24"/>
              </w:rPr>
              <w:t>XIV</w:t>
            </w:r>
            <w:r w:rsidR="005B2170" w:rsidRPr="005B2170">
              <w:rPr>
                <w:rFonts w:ascii="Times New Roman" w:hAnsi="Times New Roman" w:cs="Times New Roman"/>
                <w:b w:val="0"/>
                <w:i w:val="0"/>
                <w:noProof/>
                <w:webHidden/>
                <w:sz w:val="24"/>
                <w:szCs w:val="24"/>
              </w:rPr>
              <w:fldChar w:fldCharType="end"/>
            </w:r>
          </w:hyperlink>
        </w:p>
        <w:p w:rsidR="005B2170" w:rsidRPr="005B2170" w:rsidRDefault="002377E0" w:rsidP="005B2170">
          <w:pPr>
            <w:pStyle w:val="TOC1"/>
            <w:spacing w:line="480" w:lineRule="auto"/>
            <w:rPr>
              <w:rFonts w:ascii="Times New Roman" w:eastAsiaTheme="minorEastAsia" w:hAnsi="Times New Roman" w:cs="Times New Roman"/>
              <w:b w:val="0"/>
              <w:i w:val="0"/>
              <w:noProof/>
              <w:sz w:val="24"/>
              <w:szCs w:val="24"/>
            </w:rPr>
          </w:pPr>
          <w:hyperlink w:anchor="_Toc98509745" w:history="1">
            <w:r w:rsidR="005B2170" w:rsidRPr="005B2170">
              <w:rPr>
                <w:rStyle w:val="Hyperlink"/>
                <w:rFonts w:ascii="Times New Roman" w:hAnsi="Times New Roman" w:cs="Times New Roman"/>
                <w:b w:val="0"/>
                <w:i w:val="0"/>
                <w:noProof/>
                <w:sz w:val="24"/>
                <w:szCs w:val="24"/>
              </w:rPr>
              <w:t>Recommendation</w:t>
            </w:r>
            <w:r w:rsidR="005B2170" w:rsidRPr="005B2170">
              <w:rPr>
                <w:rFonts w:ascii="Times New Roman" w:hAnsi="Times New Roman" w:cs="Times New Roman"/>
                <w:b w:val="0"/>
                <w:i w:val="0"/>
                <w:noProof/>
                <w:webHidden/>
                <w:sz w:val="24"/>
                <w:szCs w:val="24"/>
              </w:rPr>
              <w:tab/>
            </w:r>
            <w:r w:rsidR="005B2170" w:rsidRPr="005B2170">
              <w:rPr>
                <w:rFonts w:ascii="Times New Roman" w:hAnsi="Times New Roman" w:cs="Times New Roman"/>
                <w:b w:val="0"/>
                <w:i w:val="0"/>
                <w:noProof/>
                <w:webHidden/>
                <w:sz w:val="24"/>
                <w:szCs w:val="24"/>
              </w:rPr>
              <w:fldChar w:fldCharType="begin"/>
            </w:r>
            <w:r w:rsidR="005B2170" w:rsidRPr="005B2170">
              <w:rPr>
                <w:rFonts w:ascii="Times New Roman" w:hAnsi="Times New Roman" w:cs="Times New Roman"/>
                <w:b w:val="0"/>
                <w:i w:val="0"/>
                <w:noProof/>
                <w:webHidden/>
                <w:sz w:val="24"/>
                <w:szCs w:val="24"/>
              </w:rPr>
              <w:instrText xml:space="preserve"> PAGEREF _Toc98509745 \h </w:instrText>
            </w:r>
            <w:r w:rsidR="005B2170" w:rsidRPr="005B2170">
              <w:rPr>
                <w:rFonts w:ascii="Times New Roman" w:hAnsi="Times New Roman" w:cs="Times New Roman"/>
                <w:b w:val="0"/>
                <w:i w:val="0"/>
                <w:noProof/>
                <w:webHidden/>
                <w:sz w:val="24"/>
                <w:szCs w:val="24"/>
              </w:rPr>
            </w:r>
            <w:r w:rsidR="005B2170" w:rsidRPr="005B2170">
              <w:rPr>
                <w:rFonts w:ascii="Times New Roman" w:hAnsi="Times New Roman" w:cs="Times New Roman"/>
                <w:b w:val="0"/>
                <w:i w:val="0"/>
                <w:noProof/>
                <w:webHidden/>
                <w:sz w:val="24"/>
                <w:szCs w:val="24"/>
              </w:rPr>
              <w:fldChar w:fldCharType="separate"/>
            </w:r>
            <w:r w:rsidR="0013311D">
              <w:rPr>
                <w:rFonts w:ascii="Times New Roman" w:hAnsi="Times New Roman" w:cs="Times New Roman"/>
                <w:b w:val="0"/>
                <w:i w:val="0"/>
                <w:noProof/>
                <w:webHidden/>
                <w:sz w:val="24"/>
                <w:szCs w:val="24"/>
              </w:rPr>
              <w:t>XVI</w:t>
            </w:r>
            <w:r w:rsidR="005B2170" w:rsidRPr="005B2170">
              <w:rPr>
                <w:rFonts w:ascii="Times New Roman" w:hAnsi="Times New Roman" w:cs="Times New Roman"/>
                <w:b w:val="0"/>
                <w:i w:val="0"/>
                <w:noProof/>
                <w:webHidden/>
                <w:sz w:val="24"/>
                <w:szCs w:val="24"/>
              </w:rPr>
              <w:fldChar w:fldCharType="end"/>
            </w:r>
          </w:hyperlink>
        </w:p>
        <w:p w:rsidR="005B2170" w:rsidRPr="005B2170" w:rsidRDefault="002377E0" w:rsidP="005B2170">
          <w:pPr>
            <w:pStyle w:val="TOC1"/>
            <w:spacing w:line="480" w:lineRule="auto"/>
            <w:rPr>
              <w:rFonts w:ascii="Times New Roman" w:eastAsiaTheme="minorEastAsia" w:hAnsi="Times New Roman" w:cs="Times New Roman"/>
              <w:b w:val="0"/>
              <w:i w:val="0"/>
              <w:noProof/>
              <w:sz w:val="24"/>
              <w:szCs w:val="24"/>
            </w:rPr>
          </w:pPr>
          <w:hyperlink w:anchor="_Toc98509746" w:history="1">
            <w:r w:rsidR="005B2170" w:rsidRPr="005B2170">
              <w:rPr>
                <w:rStyle w:val="Hyperlink"/>
                <w:rFonts w:ascii="Times New Roman" w:hAnsi="Times New Roman" w:cs="Times New Roman"/>
                <w:b w:val="0"/>
                <w:i w:val="0"/>
                <w:noProof/>
                <w:sz w:val="24"/>
                <w:szCs w:val="24"/>
              </w:rPr>
              <w:t>Conclusion</w:t>
            </w:r>
            <w:r w:rsidR="005B2170" w:rsidRPr="005B2170">
              <w:rPr>
                <w:rFonts w:ascii="Times New Roman" w:hAnsi="Times New Roman" w:cs="Times New Roman"/>
                <w:b w:val="0"/>
                <w:i w:val="0"/>
                <w:noProof/>
                <w:webHidden/>
                <w:sz w:val="24"/>
                <w:szCs w:val="24"/>
              </w:rPr>
              <w:tab/>
            </w:r>
            <w:r w:rsidR="005B2170" w:rsidRPr="005B2170">
              <w:rPr>
                <w:rFonts w:ascii="Times New Roman" w:hAnsi="Times New Roman" w:cs="Times New Roman"/>
                <w:b w:val="0"/>
                <w:i w:val="0"/>
                <w:noProof/>
                <w:webHidden/>
                <w:sz w:val="24"/>
                <w:szCs w:val="24"/>
              </w:rPr>
              <w:fldChar w:fldCharType="begin"/>
            </w:r>
            <w:r w:rsidR="005B2170" w:rsidRPr="005B2170">
              <w:rPr>
                <w:rFonts w:ascii="Times New Roman" w:hAnsi="Times New Roman" w:cs="Times New Roman"/>
                <w:b w:val="0"/>
                <w:i w:val="0"/>
                <w:noProof/>
                <w:webHidden/>
                <w:sz w:val="24"/>
                <w:szCs w:val="24"/>
              </w:rPr>
              <w:instrText xml:space="preserve"> PAGEREF _Toc98509746 \h </w:instrText>
            </w:r>
            <w:r w:rsidR="005B2170" w:rsidRPr="005B2170">
              <w:rPr>
                <w:rFonts w:ascii="Times New Roman" w:hAnsi="Times New Roman" w:cs="Times New Roman"/>
                <w:b w:val="0"/>
                <w:i w:val="0"/>
                <w:noProof/>
                <w:webHidden/>
                <w:sz w:val="24"/>
                <w:szCs w:val="24"/>
              </w:rPr>
            </w:r>
            <w:r w:rsidR="005B2170" w:rsidRPr="005B2170">
              <w:rPr>
                <w:rFonts w:ascii="Times New Roman" w:hAnsi="Times New Roman" w:cs="Times New Roman"/>
                <w:b w:val="0"/>
                <w:i w:val="0"/>
                <w:noProof/>
                <w:webHidden/>
                <w:sz w:val="24"/>
                <w:szCs w:val="24"/>
              </w:rPr>
              <w:fldChar w:fldCharType="separate"/>
            </w:r>
            <w:r w:rsidR="0013311D">
              <w:rPr>
                <w:rFonts w:ascii="Times New Roman" w:hAnsi="Times New Roman" w:cs="Times New Roman"/>
                <w:b w:val="0"/>
                <w:i w:val="0"/>
                <w:noProof/>
                <w:webHidden/>
                <w:sz w:val="24"/>
                <w:szCs w:val="24"/>
              </w:rPr>
              <w:t>XVII</w:t>
            </w:r>
            <w:r w:rsidR="005B2170" w:rsidRPr="005B2170">
              <w:rPr>
                <w:rFonts w:ascii="Times New Roman" w:hAnsi="Times New Roman" w:cs="Times New Roman"/>
                <w:b w:val="0"/>
                <w:i w:val="0"/>
                <w:noProof/>
                <w:webHidden/>
                <w:sz w:val="24"/>
                <w:szCs w:val="24"/>
              </w:rPr>
              <w:fldChar w:fldCharType="end"/>
            </w:r>
          </w:hyperlink>
        </w:p>
        <w:p w:rsidR="005B2170" w:rsidRPr="005B2170" w:rsidRDefault="002377E0" w:rsidP="005B2170">
          <w:pPr>
            <w:pStyle w:val="TOC1"/>
            <w:spacing w:line="480" w:lineRule="auto"/>
            <w:rPr>
              <w:rFonts w:ascii="Times New Roman" w:eastAsiaTheme="minorEastAsia" w:hAnsi="Times New Roman" w:cs="Times New Roman"/>
              <w:b w:val="0"/>
              <w:i w:val="0"/>
              <w:noProof/>
              <w:sz w:val="24"/>
              <w:szCs w:val="24"/>
            </w:rPr>
          </w:pPr>
          <w:hyperlink w:anchor="_Toc98509747" w:history="1">
            <w:r w:rsidR="005B2170" w:rsidRPr="005B2170">
              <w:rPr>
                <w:rStyle w:val="Hyperlink"/>
                <w:rFonts w:ascii="Times New Roman" w:hAnsi="Times New Roman" w:cs="Times New Roman"/>
                <w:b w:val="0"/>
                <w:i w:val="0"/>
                <w:noProof/>
                <w:sz w:val="24"/>
                <w:szCs w:val="24"/>
              </w:rPr>
              <w:t>Appendix</w:t>
            </w:r>
            <w:r w:rsidR="005B2170" w:rsidRPr="005B2170">
              <w:rPr>
                <w:rFonts w:ascii="Times New Roman" w:hAnsi="Times New Roman" w:cs="Times New Roman"/>
                <w:b w:val="0"/>
                <w:i w:val="0"/>
                <w:noProof/>
                <w:webHidden/>
                <w:sz w:val="24"/>
                <w:szCs w:val="24"/>
              </w:rPr>
              <w:tab/>
            </w:r>
            <w:r w:rsidR="005B2170" w:rsidRPr="005B2170">
              <w:rPr>
                <w:rFonts w:ascii="Times New Roman" w:hAnsi="Times New Roman" w:cs="Times New Roman"/>
                <w:b w:val="0"/>
                <w:i w:val="0"/>
                <w:noProof/>
                <w:webHidden/>
                <w:sz w:val="24"/>
                <w:szCs w:val="24"/>
              </w:rPr>
              <w:fldChar w:fldCharType="begin"/>
            </w:r>
            <w:r w:rsidR="005B2170" w:rsidRPr="005B2170">
              <w:rPr>
                <w:rFonts w:ascii="Times New Roman" w:hAnsi="Times New Roman" w:cs="Times New Roman"/>
                <w:b w:val="0"/>
                <w:i w:val="0"/>
                <w:noProof/>
                <w:webHidden/>
                <w:sz w:val="24"/>
                <w:szCs w:val="24"/>
              </w:rPr>
              <w:instrText xml:space="preserve"> PAGEREF _Toc98509747 \h </w:instrText>
            </w:r>
            <w:r w:rsidR="005B2170" w:rsidRPr="005B2170">
              <w:rPr>
                <w:rFonts w:ascii="Times New Roman" w:hAnsi="Times New Roman" w:cs="Times New Roman"/>
                <w:b w:val="0"/>
                <w:i w:val="0"/>
                <w:noProof/>
                <w:webHidden/>
                <w:sz w:val="24"/>
                <w:szCs w:val="24"/>
              </w:rPr>
            </w:r>
            <w:r w:rsidR="005B2170" w:rsidRPr="005B2170">
              <w:rPr>
                <w:rFonts w:ascii="Times New Roman" w:hAnsi="Times New Roman" w:cs="Times New Roman"/>
                <w:b w:val="0"/>
                <w:i w:val="0"/>
                <w:noProof/>
                <w:webHidden/>
                <w:sz w:val="24"/>
                <w:szCs w:val="24"/>
              </w:rPr>
              <w:fldChar w:fldCharType="separate"/>
            </w:r>
            <w:r w:rsidR="0013311D">
              <w:rPr>
                <w:rFonts w:ascii="Times New Roman" w:hAnsi="Times New Roman" w:cs="Times New Roman"/>
                <w:b w:val="0"/>
                <w:i w:val="0"/>
                <w:noProof/>
                <w:webHidden/>
                <w:sz w:val="24"/>
                <w:szCs w:val="24"/>
              </w:rPr>
              <w:t>XVIII</w:t>
            </w:r>
            <w:r w:rsidR="005B2170" w:rsidRPr="005B2170">
              <w:rPr>
                <w:rFonts w:ascii="Times New Roman" w:hAnsi="Times New Roman" w:cs="Times New Roman"/>
                <w:b w:val="0"/>
                <w:i w:val="0"/>
                <w:noProof/>
                <w:webHidden/>
                <w:sz w:val="24"/>
                <w:szCs w:val="24"/>
              </w:rPr>
              <w:fldChar w:fldCharType="end"/>
            </w:r>
          </w:hyperlink>
        </w:p>
        <w:p w:rsidR="005B2170" w:rsidRPr="005B2170" w:rsidRDefault="002377E0" w:rsidP="005B2170">
          <w:pPr>
            <w:pStyle w:val="TOC1"/>
            <w:spacing w:line="480" w:lineRule="auto"/>
            <w:rPr>
              <w:rFonts w:ascii="Times New Roman" w:eastAsiaTheme="minorEastAsia" w:hAnsi="Times New Roman" w:cs="Times New Roman"/>
              <w:b w:val="0"/>
              <w:i w:val="0"/>
              <w:noProof/>
              <w:sz w:val="24"/>
              <w:szCs w:val="24"/>
            </w:rPr>
          </w:pPr>
          <w:hyperlink w:anchor="_Toc98509748" w:history="1">
            <w:r w:rsidR="005B2170" w:rsidRPr="005B2170">
              <w:rPr>
                <w:rStyle w:val="Hyperlink"/>
                <w:rFonts w:ascii="Times New Roman" w:hAnsi="Times New Roman" w:cs="Times New Roman"/>
                <w:b w:val="0"/>
                <w:i w:val="0"/>
                <w:noProof/>
                <w:sz w:val="24"/>
                <w:szCs w:val="24"/>
              </w:rPr>
              <w:t>Bibliography</w:t>
            </w:r>
            <w:r w:rsidR="005B2170" w:rsidRPr="005B2170">
              <w:rPr>
                <w:rFonts w:ascii="Times New Roman" w:hAnsi="Times New Roman" w:cs="Times New Roman"/>
                <w:b w:val="0"/>
                <w:i w:val="0"/>
                <w:noProof/>
                <w:webHidden/>
                <w:sz w:val="24"/>
                <w:szCs w:val="24"/>
              </w:rPr>
              <w:tab/>
            </w:r>
            <w:r w:rsidR="005B2170" w:rsidRPr="005B2170">
              <w:rPr>
                <w:rFonts w:ascii="Times New Roman" w:hAnsi="Times New Roman" w:cs="Times New Roman"/>
                <w:b w:val="0"/>
                <w:i w:val="0"/>
                <w:noProof/>
                <w:webHidden/>
                <w:sz w:val="24"/>
                <w:szCs w:val="24"/>
              </w:rPr>
              <w:fldChar w:fldCharType="begin"/>
            </w:r>
            <w:r w:rsidR="005B2170" w:rsidRPr="005B2170">
              <w:rPr>
                <w:rFonts w:ascii="Times New Roman" w:hAnsi="Times New Roman" w:cs="Times New Roman"/>
                <w:b w:val="0"/>
                <w:i w:val="0"/>
                <w:noProof/>
                <w:webHidden/>
                <w:sz w:val="24"/>
                <w:szCs w:val="24"/>
              </w:rPr>
              <w:instrText xml:space="preserve"> PAGEREF _Toc98509748 \h </w:instrText>
            </w:r>
            <w:r w:rsidR="005B2170" w:rsidRPr="005B2170">
              <w:rPr>
                <w:rFonts w:ascii="Times New Roman" w:hAnsi="Times New Roman" w:cs="Times New Roman"/>
                <w:b w:val="0"/>
                <w:i w:val="0"/>
                <w:noProof/>
                <w:webHidden/>
                <w:sz w:val="24"/>
                <w:szCs w:val="24"/>
              </w:rPr>
            </w:r>
            <w:r w:rsidR="005B2170" w:rsidRPr="005B2170">
              <w:rPr>
                <w:rFonts w:ascii="Times New Roman" w:hAnsi="Times New Roman" w:cs="Times New Roman"/>
                <w:b w:val="0"/>
                <w:i w:val="0"/>
                <w:noProof/>
                <w:webHidden/>
                <w:sz w:val="24"/>
                <w:szCs w:val="24"/>
              </w:rPr>
              <w:fldChar w:fldCharType="separate"/>
            </w:r>
            <w:r w:rsidR="0013311D">
              <w:rPr>
                <w:rFonts w:ascii="Times New Roman" w:hAnsi="Times New Roman" w:cs="Times New Roman"/>
                <w:b w:val="0"/>
                <w:i w:val="0"/>
                <w:noProof/>
                <w:webHidden/>
                <w:sz w:val="24"/>
                <w:szCs w:val="24"/>
              </w:rPr>
              <w:t>XIX</w:t>
            </w:r>
            <w:r w:rsidR="005B2170" w:rsidRPr="005B2170">
              <w:rPr>
                <w:rFonts w:ascii="Times New Roman" w:hAnsi="Times New Roman" w:cs="Times New Roman"/>
                <w:b w:val="0"/>
                <w:i w:val="0"/>
                <w:noProof/>
                <w:webHidden/>
                <w:sz w:val="24"/>
                <w:szCs w:val="24"/>
              </w:rPr>
              <w:fldChar w:fldCharType="end"/>
            </w:r>
          </w:hyperlink>
        </w:p>
        <w:p w:rsidR="005B2170" w:rsidRDefault="005B2170" w:rsidP="005B2170">
          <w:r w:rsidRPr="005B2170">
            <w:rPr>
              <w:rFonts w:cs="Times New Roman"/>
              <w:b/>
              <w:bCs/>
              <w:noProof/>
              <w:szCs w:val="24"/>
            </w:rPr>
            <w:fldChar w:fldCharType="end"/>
          </w:r>
        </w:p>
      </w:sdtContent>
    </w:sdt>
    <w:p w:rsidR="00AF7FE4" w:rsidRDefault="005B2170">
      <w:pPr>
        <w:spacing w:line="276" w:lineRule="auto"/>
        <w:jc w:val="left"/>
        <w:rPr>
          <w:rFonts w:eastAsiaTheme="majorEastAsia" w:cstheme="majorBidi"/>
          <w:b/>
          <w:bCs/>
          <w:color w:val="000000" w:themeColor="text1"/>
          <w:sz w:val="40"/>
          <w:szCs w:val="28"/>
        </w:rPr>
      </w:pPr>
      <w:r>
        <w:rPr>
          <w:rFonts w:eastAsiaTheme="majorEastAsia" w:cstheme="majorBidi"/>
          <w:b/>
          <w:bCs/>
          <w:color w:val="000000" w:themeColor="text1"/>
          <w:sz w:val="40"/>
          <w:szCs w:val="28"/>
        </w:rPr>
        <w:br w:type="page"/>
      </w:r>
    </w:p>
    <w:p w:rsidR="00C47E5D" w:rsidRDefault="00C47E5D" w:rsidP="00C47E5D">
      <w:pPr>
        <w:pStyle w:val="Heading1"/>
      </w:pPr>
      <w:bookmarkStart w:id="0" w:name="_Toc97995266"/>
      <w:bookmarkStart w:id="1" w:name="_Toc97997706"/>
      <w:bookmarkStart w:id="2" w:name="_Toc97997865"/>
      <w:bookmarkStart w:id="3" w:name="_Toc98507131"/>
      <w:bookmarkStart w:id="4" w:name="_Toc98507332"/>
      <w:bookmarkStart w:id="5" w:name="_Toc98509736"/>
      <w:bookmarkStart w:id="6" w:name="_Toc97995265"/>
      <w:bookmarkStart w:id="7" w:name="_Toc97997705"/>
      <w:bookmarkStart w:id="8" w:name="_Toc97997864"/>
      <w:r>
        <w:lastRenderedPageBreak/>
        <w:t>Acknowledgement</w:t>
      </w:r>
      <w:bookmarkEnd w:id="0"/>
      <w:bookmarkEnd w:id="1"/>
      <w:bookmarkEnd w:id="2"/>
      <w:bookmarkEnd w:id="3"/>
      <w:bookmarkEnd w:id="4"/>
      <w:bookmarkEnd w:id="5"/>
    </w:p>
    <w:p w:rsidR="0082739D" w:rsidRDefault="0082739D" w:rsidP="0082739D">
      <w:r>
        <w:t xml:space="preserve">First of all, we want to thank you God for giving us the strength to complete this assignment. Second, we want to express gratitude to our teacher, </w:t>
      </w:r>
      <w:r>
        <w:t>Ms. Laing</w:t>
      </w:r>
      <w:r>
        <w:t>, for using her time to help us. Finally, we want to thank our parents for providing the resources we need to finish the project.</w:t>
      </w:r>
    </w:p>
    <w:p w:rsidR="0082739D" w:rsidRDefault="0082739D" w:rsidP="0082739D"/>
    <w:p w:rsidR="00C47E5D" w:rsidRDefault="00C47E5D" w:rsidP="0082739D">
      <w:r>
        <w:br w:type="page"/>
      </w:r>
    </w:p>
    <w:p w:rsidR="00C47E5D" w:rsidRDefault="00C47E5D" w:rsidP="00C47E5D">
      <w:pPr>
        <w:pStyle w:val="Heading1"/>
      </w:pPr>
      <w:bookmarkStart w:id="9" w:name="_Toc97995267"/>
      <w:bookmarkStart w:id="10" w:name="_Toc97997707"/>
      <w:bookmarkStart w:id="11" w:name="_Toc97997866"/>
      <w:bookmarkStart w:id="12" w:name="_Toc98507132"/>
      <w:bookmarkStart w:id="13" w:name="_Toc98507333"/>
      <w:bookmarkStart w:id="14" w:name="_Toc98509737"/>
      <w:r>
        <w:lastRenderedPageBreak/>
        <w:t>Introduction</w:t>
      </w:r>
      <w:bookmarkEnd w:id="9"/>
      <w:bookmarkEnd w:id="10"/>
      <w:bookmarkEnd w:id="11"/>
      <w:bookmarkEnd w:id="12"/>
      <w:bookmarkEnd w:id="13"/>
      <w:bookmarkEnd w:id="14"/>
    </w:p>
    <w:p w:rsidR="0082739D" w:rsidRDefault="0082739D" w:rsidP="0082739D">
      <w:r>
        <w:t>LASCO Manufacturing Limited, once known as LASCO Food Successors Limited, was established in October 1994 and is owned and operated by CEO, Lascelles A. Chin. LASCO Manufacturing Limited was registered under the Company's Office of Jamaica as a public limited company prior to its initial public offer on the Jamaica stock exchange market. Products offered by LASCO Manufacturing Limited include; Lasco fruit drink, Lasoy Lactose-free, Lasco whole milk, etc. and services offered by LASCO Manufacturing Limited are; distribution and supply chain and other customer affairs. LASCO as a business itself is not only comprised of manufactured goods but also financial services such as; money transfer, currency exchange, consumer loans, and other investment options. Therefore, the researchers are interested in this firm to assess their financial performance during the period specified in the topic through the use of ratio analysis in terms of profitability and liquidity ratios.</w:t>
      </w:r>
    </w:p>
    <w:p w:rsidR="00000847" w:rsidRPr="00000847" w:rsidRDefault="00C47E5D" w:rsidP="00C47E5D">
      <w:pPr>
        <w:pStyle w:val="Heading1"/>
        <w:rPr>
          <w:sz w:val="28"/>
        </w:rPr>
      </w:pPr>
      <w:r>
        <w:br w:type="page"/>
      </w:r>
      <w:bookmarkStart w:id="15" w:name="_Toc98507133"/>
      <w:bookmarkStart w:id="16" w:name="_Toc98507334"/>
      <w:bookmarkStart w:id="17" w:name="_Toc98509738"/>
      <w:r w:rsidR="00000847" w:rsidRPr="00000847">
        <w:lastRenderedPageBreak/>
        <w:t>Topic</w:t>
      </w:r>
      <w:bookmarkEnd w:id="6"/>
      <w:bookmarkEnd w:id="7"/>
      <w:bookmarkEnd w:id="8"/>
      <w:bookmarkEnd w:id="15"/>
      <w:bookmarkEnd w:id="16"/>
      <w:bookmarkEnd w:id="17"/>
    </w:p>
    <w:p w:rsidR="0082739D" w:rsidRPr="0082739D" w:rsidRDefault="0082739D" w:rsidP="0082739D">
      <w:pPr>
        <w:jc w:val="left"/>
        <w:rPr>
          <w:rFonts w:eastAsia="Times New Roman" w:cs="Times New Roman"/>
          <w:szCs w:val="24"/>
        </w:rPr>
      </w:pPr>
      <w:r w:rsidRPr="0082739D">
        <w:rPr>
          <w:rFonts w:eastAsia="Times New Roman" w:cs="Times New Roman"/>
          <w:color w:val="000000"/>
          <w:sz w:val="28"/>
          <w:szCs w:val="28"/>
        </w:rPr>
        <w:t xml:space="preserve">An assessment into the financial statements of LASCO Manufacturing Limited between the years 2019 to 2020 to determine the </w:t>
      </w:r>
      <w:r w:rsidRPr="0082739D">
        <w:rPr>
          <w:rFonts w:eastAsia="Times New Roman" w:cs="Times New Roman"/>
          <w:color w:val="000000"/>
          <w:sz w:val="28"/>
          <w:szCs w:val="28"/>
        </w:rPr>
        <w:t>financial</w:t>
      </w:r>
      <w:r w:rsidRPr="0082739D">
        <w:rPr>
          <w:rFonts w:eastAsia="Times New Roman" w:cs="Times New Roman"/>
          <w:color w:val="000000"/>
          <w:sz w:val="28"/>
          <w:szCs w:val="28"/>
        </w:rPr>
        <w:t xml:space="preserve"> performance of the </w:t>
      </w:r>
      <w:r w:rsidRPr="0082739D">
        <w:rPr>
          <w:rFonts w:eastAsia="Times New Roman" w:cs="Times New Roman"/>
          <w:color w:val="000000"/>
          <w:sz w:val="28"/>
          <w:szCs w:val="28"/>
        </w:rPr>
        <w:t>business.</w:t>
      </w:r>
    </w:p>
    <w:p w:rsidR="0082739D" w:rsidRDefault="0082739D">
      <w:pPr>
        <w:spacing w:line="276" w:lineRule="auto"/>
        <w:jc w:val="left"/>
        <w:rPr>
          <w:sz w:val="28"/>
        </w:rPr>
      </w:pPr>
    </w:p>
    <w:p w:rsidR="0082739D" w:rsidRDefault="0082739D">
      <w:pPr>
        <w:spacing w:line="276" w:lineRule="auto"/>
        <w:jc w:val="left"/>
        <w:rPr>
          <w:sz w:val="28"/>
        </w:rPr>
      </w:pPr>
    </w:p>
    <w:p w:rsidR="00000847" w:rsidRDefault="00000847">
      <w:pPr>
        <w:spacing w:line="276" w:lineRule="auto"/>
        <w:jc w:val="left"/>
        <w:rPr>
          <w:rFonts w:eastAsiaTheme="majorEastAsia" w:cstheme="majorBidi"/>
          <w:b/>
          <w:bCs/>
          <w:color w:val="000000" w:themeColor="text1"/>
          <w:sz w:val="40"/>
          <w:szCs w:val="28"/>
        </w:rPr>
      </w:pPr>
      <w:r>
        <w:br w:type="page"/>
      </w:r>
    </w:p>
    <w:p w:rsidR="003B599A" w:rsidRPr="003B599A" w:rsidRDefault="003B599A" w:rsidP="003B599A">
      <w:pPr>
        <w:pStyle w:val="Heading1"/>
      </w:pPr>
      <w:bookmarkStart w:id="18" w:name="_Toc97995268"/>
      <w:bookmarkStart w:id="19" w:name="_Toc97997708"/>
      <w:bookmarkStart w:id="20" w:name="_Toc97997867"/>
      <w:bookmarkStart w:id="21" w:name="_Toc98507134"/>
      <w:bookmarkStart w:id="22" w:name="_Toc98507335"/>
      <w:bookmarkStart w:id="23" w:name="_Toc98509739"/>
      <w:r w:rsidRPr="003B599A">
        <w:lastRenderedPageBreak/>
        <w:t>Objectives</w:t>
      </w:r>
      <w:bookmarkEnd w:id="18"/>
      <w:bookmarkEnd w:id="19"/>
      <w:bookmarkEnd w:id="20"/>
      <w:bookmarkEnd w:id="21"/>
      <w:bookmarkEnd w:id="22"/>
      <w:bookmarkEnd w:id="23"/>
    </w:p>
    <w:p w:rsidR="0082739D" w:rsidRPr="0082739D" w:rsidRDefault="0082739D" w:rsidP="0082739D">
      <w:pPr>
        <w:pStyle w:val="ListParagraph"/>
        <w:numPr>
          <w:ilvl w:val="0"/>
          <w:numId w:val="5"/>
        </w:numPr>
        <w:rPr>
          <w:rFonts w:eastAsia="Times New Roman" w:cs="Times New Roman"/>
          <w:szCs w:val="24"/>
        </w:rPr>
      </w:pPr>
      <w:r w:rsidRPr="0082739D">
        <w:rPr>
          <w:rFonts w:eastAsia="Times New Roman" w:cs="Times New Roman"/>
          <w:color w:val="000000"/>
          <w:szCs w:val="24"/>
        </w:rPr>
        <w:t>To ascertain the ability of Lasco Manufacturing Limited to raise cash to secure the firm’s liabilities with the use of liquidity ratios.</w:t>
      </w:r>
    </w:p>
    <w:p w:rsidR="0082739D" w:rsidRPr="0082739D" w:rsidRDefault="0082739D" w:rsidP="0082739D">
      <w:pPr>
        <w:pStyle w:val="ListParagraph"/>
        <w:numPr>
          <w:ilvl w:val="0"/>
          <w:numId w:val="5"/>
        </w:numPr>
        <w:rPr>
          <w:rFonts w:eastAsia="Times New Roman" w:cs="Times New Roman"/>
          <w:szCs w:val="24"/>
        </w:rPr>
      </w:pPr>
      <w:r w:rsidRPr="0082739D">
        <w:rPr>
          <w:rFonts w:eastAsia="Times New Roman" w:cs="Times New Roman"/>
          <w:color w:val="000000"/>
          <w:szCs w:val="24"/>
        </w:rPr>
        <w:t>To determine the effectiveness of Lasco Manufacturing Limited’s financial position in a market with the use of the profitability ratios.</w:t>
      </w:r>
    </w:p>
    <w:p w:rsidR="0082739D" w:rsidRPr="0082739D" w:rsidRDefault="0082739D" w:rsidP="0082739D">
      <w:pPr>
        <w:pStyle w:val="ListParagraph"/>
        <w:numPr>
          <w:ilvl w:val="0"/>
          <w:numId w:val="5"/>
        </w:numPr>
        <w:rPr>
          <w:rFonts w:eastAsia="Times New Roman" w:cs="Times New Roman"/>
          <w:szCs w:val="24"/>
        </w:rPr>
      </w:pPr>
      <w:r w:rsidRPr="0082739D">
        <w:rPr>
          <w:rFonts w:eastAsia="Times New Roman" w:cs="Times New Roman"/>
          <w:color w:val="000000"/>
          <w:szCs w:val="24"/>
        </w:rPr>
        <w:t>To discover how productive the specified firm is using their resources to generate revenue with the use of efficiency ratios.</w:t>
      </w:r>
    </w:p>
    <w:p w:rsidR="00CD6D7F" w:rsidRDefault="00CD6D7F" w:rsidP="0082739D"/>
    <w:p w:rsidR="003B599A" w:rsidRPr="00CD6D7F" w:rsidRDefault="003B599A" w:rsidP="003B599A">
      <w:pPr>
        <w:spacing w:line="276" w:lineRule="auto"/>
        <w:jc w:val="left"/>
      </w:pPr>
      <w:r>
        <w:br w:type="page"/>
      </w:r>
    </w:p>
    <w:p w:rsidR="00C56FD2" w:rsidRDefault="00314344" w:rsidP="00314344">
      <w:pPr>
        <w:pStyle w:val="Heading1"/>
      </w:pPr>
      <w:bookmarkStart w:id="24" w:name="_Toc97995269"/>
      <w:bookmarkStart w:id="25" w:name="_Toc97997709"/>
      <w:bookmarkStart w:id="26" w:name="_Toc97997868"/>
      <w:bookmarkStart w:id="27" w:name="_Toc98507135"/>
      <w:bookmarkStart w:id="28" w:name="_Toc98507336"/>
      <w:bookmarkStart w:id="29" w:name="_Toc98509740"/>
      <w:r w:rsidRPr="00314344">
        <w:lastRenderedPageBreak/>
        <w:t>Literature Review</w:t>
      </w:r>
      <w:bookmarkEnd w:id="24"/>
      <w:bookmarkEnd w:id="25"/>
      <w:bookmarkEnd w:id="26"/>
      <w:bookmarkEnd w:id="27"/>
      <w:bookmarkEnd w:id="28"/>
      <w:bookmarkEnd w:id="29"/>
    </w:p>
    <w:p w:rsidR="00EB4D57" w:rsidRDefault="00EB4D57" w:rsidP="00EB4D57">
      <w:r>
        <w:t>The performance of a business is mainly focused on the ability of a firm to execute arrangements with the objectives of creating a suitable good or service to satisfy the customers' needs and ultimately generate profit. This can be evaluated via Ratio analy</w:t>
      </w:r>
      <w:r w:rsidR="0055383B">
        <w:t xml:space="preserve">sis. According to </w:t>
      </w:r>
      <w:r w:rsidR="00F96D42">
        <w:t>(</w:t>
      </w:r>
      <w:r w:rsidR="0055383B">
        <w:t>Bloomen</w:t>
      </w:r>
      <w:r>
        <w:t>t</w:t>
      </w:r>
      <w:r w:rsidR="0055383B">
        <w:t>h</w:t>
      </w:r>
      <w:r w:rsidR="00F96D42">
        <w:t xml:space="preserve">al, </w:t>
      </w:r>
      <w:r>
        <w:t>2021</w:t>
      </w:r>
      <w:r w:rsidR="0055383B">
        <w:t xml:space="preserve">) </w:t>
      </w:r>
      <w:r>
        <w:t>ratio analysis is a quantitative method of gaining insight into a company's liquidity, operational efficiency, and profitability by studying its financial statements such as the balance sheet and income statement.</w:t>
      </w:r>
    </w:p>
    <w:p w:rsidR="00EB4D57" w:rsidRDefault="00EB4D57" w:rsidP="00EB4D57">
      <w:r>
        <w:t xml:space="preserve">Pertaining to the details of ratio analysis, an article written by </w:t>
      </w:r>
      <w:r w:rsidR="00F96D42">
        <w:t>(</w:t>
      </w:r>
      <w:r w:rsidR="00800046">
        <w:t>Lumen Learning</w:t>
      </w:r>
      <w:r w:rsidR="00F96D42">
        <w:t>,</w:t>
      </w:r>
      <w:r w:rsidR="00800046">
        <w:t xml:space="preserve"> 2021</w:t>
      </w:r>
      <w:r>
        <w:t>) implies the introduction of the types of ratio analysis an</w:t>
      </w:r>
      <w:r w:rsidR="00800046">
        <w:t>d its significance. It states "</w:t>
      </w:r>
      <w:r>
        <w:t>There are various types of financial ratios</w:t>
      </w:r>
      <w:r w:rsidR="007D2EF4">
        <w:t>,</w:t>
      </w:r>
      <w:r>
        <w:t xml:space="preserve"> grouped by their relevance to </w:t>
      </w:r>
      <w:r w:rsidR="00380FC1">
        <w:t>different aspects of a company</w:t>
      </w:r>
      <w:r w:rsidR="007D2EF4">
        <w:t>’s business</w:t>
      </w:r>
      <w:r>
        <w:t xml:space="preserve"> as well as their interest to different audience</w:t>
      </w:r>
      <w:r w:rsidR="007D2EF4">
        <w:t>s</w:t>
      </w:r>
      <w:r>
        <w:t>. Financial ratios may be used internally by current and potential shareholders and creditors of a firm and other audiences interested in understanding the strengths and weaknesses of a company, especially compared to the company over ti</w:t>
      </w:r>
      <w:r w:rsidR="00723540">
        <w:t>me or compared to other companies</w:t>
      </w:r>
      <w:r>
        <w:t>." So it seems it would be futile to have the results of ratio analysis with only one period. Rather insights can be derived</w:t>
      </w:r>
      <w:r w:rsidR="00AC1214">
        <w:t xml:space="preserve"> by</w:t>
      </w:r>
      <w:r>
        <w:t xml:space="preserve"> comparing the analysis over more than one accounting period to see whether the performance of the business is being optimized.</w:t>
      </w:r>
    </w:p>
    <w:p w:rsidR="00EB4D57" w:rsidRDefault="00EB4D57" w:rsidP="00EB4D57">
      <w:r>
        <w:t xml:space="preserve">To be aligned with the goals of this project, </w:t>
      </w:r>
      <w:r w:rsidR="00F96D42">
        <w:t>(</w:t>
      </w:r>
      <w:r w:rsidR="003F46CA">
        <w:t>Bloomenthal</w:t>
      </w:r>
      <w:r w:rsidR="00F96D42">
        <w:t>,</w:t>
      </w:r>
      <w:r w:rsidR="003F46CA">
        <w:t xml:space="preserve"> 2021</w:t>
      </w:r>
      <w:r>
        <w:t xml:space="preserve">) explained the concept of both liquidity and profitability ratios. It states </w:t>
      </w:r>
      <w:r w:rsidR="00351E74">
        <w:t>“liquidity</w:t>
      </w:r>
      <w:r>
        <w:t xml:space="preserve"> ratios measure a company's ability to pay off its short term debts as they become due, include the current ratio, quick ratio, and working capital ratio." It was discerned that either internal or external examiners use liquidity ratios to identify the value of the firm's resources to be converted in cash to cover abrupt liabilities to prevent bankruptcy. It also indicates that if a firm flunks to carry to execute such an act, this </w:t>
      </w:r>
      <w:r>
        <w:lastRenderedPageBreak/>
        <w:t>could be due to difficulties in sustaining its sales growth like not collecting payments from debtors in a suitable, limited time frame.</w:t>
      </w:r>
    </w:p>
    <w:p w:rsidR="00EB4D57" w:rsidRDefault="00E03A43" w:rsidP="00EB4D57">
      <w:r>
        <w:t xml:space="preserve">Lastly, </w:t>
      </w:r>
      <w:r w:rsidR="00F96D42">
        <w:t>(</w:t>
      </w:r>
      <w:r>
        <w:t>Haynes</w:t>
      </w:r>
      <w:r w:rsidR="00F96D42">
        <w:t>,</w:t>
      </w:r>
      <w:r w:rsidR="00EB4D57">
        <w:t xml:space="preserve"> 2021) expressed that profitability ratios are a class of financial metrics that are used to assess a business's ability to generate earnings relative to its revenue, operating costs, balance sheet assets, or shareholders</w:t>
      </w:r>
      <w:r w:rsidR="00165170">
        <w:t>’ equity o</w:t>
      </w:r>
      <w:r w:rsidR="00EB4D57">
        <w:t>ver</w:t>
      </w:r>
      <w:r w:rsidR="00FC2ABC">
        <w:t xml:space="preserve"> </w:t>
      </w:r>
      <w:r w:rsidR="00EB4D57">
        <w:t>time</w:t>
      </w:r>
      <w:r w:rsidR="00165170">
        <w:t>,</w:t>
      </w:r>
      <w:r w:rsidR="00EB4D57">
        <w:t xml:space="preserve"> using data from a specific point in time. Prof</w:t>
      </w:r>
      <w:r w:rsidR="00165170">
        <w:t>itability ratios can be compared</w:t>
      </w:r>
      <w:r w:rsidR="00EB4D57">
        <w:t xml:space="preserve"> with efficiency ratios, which consider how well a company uses its assets internally to generate income. The inference depicted denotes the ability of how well a firm utilizes its resources can impact the firm's profi</w:t>
      </w:r>
      <w:r w:rsidR="00351E74">
        <w:t>tability since greater production</w:t>
      </w:r>
      <w:r w:rsidR="00EB4D57">
        <w:t xml:space="preserve"> yields </w:t>
      </w:r>
      <w:r w:rsidR="00FD3D9D">
        <w:t xml:space="preserve">a </w:t>
      </w:r>
      <w:r w:rsidR="00EB4D57">
        <w:t>lower cost per unit.</w:t>
      </w:r>
    </w:p>
    <w:p w:rsidR="009562A5" w:rsidRDefault="009562A5">
      <w:pPr>
        <w:spacing w:line="276" w:lineRule="auto"/>
        <w:jc w:val="left"/>
      </w:pPr>
      <w:r>
        <w:br w:type="page"/>
      </w:r>
    </w:p>
    <w:p w:rsidR="0002344E" w:rsidRDefault="0002344E" w:rsidP="0002344E">
      <w:pPr>
        <w:pStyle w:val="Heading1"/>
        <w:rPr>
          <w:rFonts w:eastAsia="Times New Roman"/>
        </w:rPr>
      </w:pPr>
      <w:bookmarkStart w:id="30" w:name="_Toc97995270"/>
      <w:bookmarkStart w:id="31" w:name="_Toc97997710"/>
      <w:bookmarkStart w:id="32" w:name="_Toc97997869"/>
      <w:bookmarkStart w:id="33" w:name="_Toc98507136"/>
      <w:bookmarkStart w:id="34" w:name="_Toc98507337"/>
      <w:bookmarkStart w:id="35" w:name="_Toc98509741"/>
      <w:r>
        <w:rPr>
          <w:rFonts w:eastAsia="Times New Roman"/>
        </w:rPr>
        <w:lastRenderedPageBreak/>
        <w:t>Methodology</w:t>
      </w:r>
      <w:bookmarkEnd w:id="30"/>
      <w:bookmarkEnd w:id="31"/>
      <w:bookmarkEnd w:id="32"/>
      <w:bookmarkEnd w:id="33"/>
      <w:bookmarkEnd w:id="34"/>
      <w:bookmarkEnd w:id="35"/>
    </w:p>
    <w:p w:rsidR="00096928" w:rsidRPr="00096928" w:rsidRDefault="00096928" w:rsidP="00096928">
      <w:pPr>
        <w:rPr>
          <w:rFonts w:eastAsia="Times New Roman" w:cs="Times New Roman"/>
          <w:szCs w:val="24"/>
        </w:rPr>
      </w:pPr>
      <w:r w:rsidRPr="00096928">
        <w:rPr>
          <w:rFonts w:eastAsia="Times New Roman" w:cs="Times New Roman"/>
          <w:color w:val="000000"/>
          <w:szCs w:val="24"/>
        </w:rPr>
        <w:t>This research was conducted on the topic; An assessment into the financial statement of Lasco Manufacturing Limited between the years 2019 to 2020 to determine the performance of the business through ratio analysis in terms of probability and liquidity. The research techniques that were used to collect data were observation and an interview.</w:t>
      </w:r>
    </w:p>
    <w:p w:rsidR="00096928" w:rsidRPr="00096928" w:rsidRDefault="00096928" w:rsidP="00096928">
      <w:pPr>
        <w:rPr>
          <w:rFonts w:eastAsia="Times New Roman" w:cs="Times New Roman"/>
          <w:szCs w:val="24"/>
        </w:rPr>
      </w:pPr>
      <w:r w:rsidRPr="00096928">
        <w:rPr>
          <w:rFonts w:eastAsia="Times New Roman" w:cs="Times New Roman"/>
          <w:color w:val="000000"/>
          <w:szCs w:val="24"/>
        </w:rPr>
        <w:t xml:space="preserve"> An observation is a method of collecting data that is systematic viewing or deliberate study through the eye. Observation may be done in a natural or stimulated situation. The reason why the data collection method was chosen is because it will help the researcher to analyze and compare the financial statements for each year. It is a very simple method to use and provides very accurate information. The observation was conducted on </w:t>
      </w:r>
      <w:r>
        <w:rPr>
          <w:rFonts w:eastAsia="Times New Roman" w:cs="Times New Roman"/>
          <w:color w:val="000000"/>
          <w:szCs w:val="24"/>
        </w:rPr>
        <w:t>February 14, 2022 to</w:t>
      </w:r>
      <w:r w:rsidRPr="00096928">
        <w:rPr>
          <w:rFonts w:eastAsia="Times New Roman" w:cs="Times New Roman"/>
          <w:color w:val="000000"/>
          <w:szCs w:val="24"/>
        </w:rPr>
        <w:t xml:space="preserve"> compare the financial statements between the two year periods of LASCO. When gathering and comparing the information, it took a total of four hours to properly evaluate the statements which was a disadvantage of observation as not everything could be observed.</w:t>
      </w:r>
    </w:p>
    <w:p w:rsidR="00DE6135" w:rsidRDefault="00DE6135">
      <w:pPr>
        <w:spacing w:line="276" w:lineRule="auto"/>
        <w:jc w:val="left"/>
      </w:pPr>
      <w:r>
        <w:br w:type="page"/>
      </w:r>
    </w:p>
    <w:p w:rsidR="00EB4D57" w:rsidRDefault="00DE6135" w:rsidP="00DE6135">
      <w:pPr>
        <w:pStyle w:val="Heading1"/>
      </w:pPr>
      <w:bookmarkStart w:id="36" w:name="_Toc97995271"/>
      <w:bookmarkStart w:id="37" w:name="_Toc97997711"/>
      <w:bookmarkStart w:id="38" w:name="_Toc97997870"/>
      <w:bookmarkStart w:id="39" w:name="_Toc98507137"/>
      <w:bookmarkStart w:id="40" w:name="_Toc98507338"/>
      <w:bookmarkStart w:id="41" w:name="_Toc98509742"/>
      <w:r>
        <w:lastRenderedPageBreak/>
        <w:t>Presentation of Data</w:t>
      </w:r>
      <w:bookmarkEnd w:id="36"/>
      <w:bookmarkEnd w:id="37"/>
      <w:bookmarkEnd w:id="38"/>
      <w:bookmarkEnd w:id="39"/>
      <w:bookmarkEnd w:id="40"/>
      <w:bookmarkEnd w:id="41"/>
    </w:p>
    <w:p w:rsidR="00922501" w:rsidRPr="006F2F6C" w:rsidRDefault="00922501" w:rsidP="00922501">
      <w:pPr>
        <w:rPr>
          <w:b/>
        </w:rPr>
      </w:pPr>
      <w:r w:rsidRPr="006F2F6C">
        <w:rPr>
          <w:b/>
        </w:rPr>
        <w:t xml:space="preserve">Figure </w:t>
      </w:r>
      <w:r w:rsidR="006F2F6C" w:rsidRPr="006F2F6C">
        <w:rPr>
          <w:b/>
        </w:rPr>
        <w:t>1</w:t>
      </w:r>
      <w:r w:rsidR="006F2F6C">
        <w:rPr>
          <w:b/>
        </w:rPr>
        <w:t xml:space="preserve">: </w:t>
      </w:r>
      <w:r w:rsidR="00707389">
        <w:rPr>
          <w:rFonts w:eastAsia="Cambria" w:cs="Times New Roman"/>
        </w:rPr>
        <w:t>Represents</w:t>
      </w:r>
      <w:r w:rsidR="002A7675">
        <w:rPr>
          <w:rFonts w:eastAsia="Cambria" w:cs="Times New Roman"/>
        </w:rPr>
        <w:t xml:space="preserve"> a</w:t>
      </w:r>
      <w:r w:rsidR="00707389">
        <w:rPr>
          <w:rFonts w:eastAsia="Cambria" w:cs="Times New Roman"/>
        </w:rPr>
        <w:t xml:space="preserve"> comparison of the totals of</w:t>
      </w:r>
      <w:r w:rsidR="006F2F6C" w:rsidRPr="006F2F6C">
        <w:rPr>
          <w:rFonts w:eastAsia="Cambria" w:cs="Times New Roman"/>
        </w:rPr>
        <w:t xml:space="preserve"> assets, liabilities</w:t>
      </w:r>
      <w:r w:rsidR="002A7675">
        <w:rPr>
          <w:rFonts w:eastAsia="Cambria" w:cs="Times New Roman"/>
        </w:rPr>
        <w:t>,</w:t>
      </w:r>
      <w:r w:rsidR="006F2F6C" w:rsidRPr="006F2F6C">
        <w:rPr>
          <w:rFonts w:eastAsia="Cambria" w:cs="Times New Roman"/>
        </w:rPr>
        <w:t xml:space="preserve"> and equity for the financial year 2019 and 2020.</w:t>
      </w:r>
    </w:p>
    <w:p w:rsidR="00ED3302" w:rsidRDefault="00151982" w:rsidP="00572903">
      <w:pPr>
        <w:jc w:val="center"/>
      </w:pPr>
      <w:r>
        <w:rPr>
          <w:noProof/>
        </w:rPr>
        <w:drawing>
          <wp:inline distT="0" distB="0" distL="0" distR="0" wp14:anchorId="564150A4" wp14:editId="22BF7973">
            <wp:extent cx="5048250" cy="3038475"/>
            <wp:effectExtent l="0" t="0" r="1905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D3302" w:rsidRDefault="00ED3302" w:rsidP="00BD4064">
      <w:pPr>
        <w:jc w:val="left"/>
        <w:rPr>
          <w:b/>
        </w:rPr>
      </w:pPr>
      <w:r w:rsidRPr="00ED3302">
        <w:rPr>
          <w:b/>
        </w:rPr>
        <w:t>Figure 2</w:t>
      </w:r>
      <w:r>
        <w:rPr>
          <w:b/>
        </w:rPr>
        <w:t xml:space="preserve">: </w:t>
      </w:r>
      <w:r w:rsidRPr="00ED3302">
        <w:t>Showing the comparison of the return on capital for the period of 2019 to 2020</w:t>
      </w:r>
      <w:r w:rsidR="00F76847">
        <w:t>.</w:t>
      </w:r>
    </w:p>
    <w:p w:rsidR="00572903" w:rsidRDefault="00151982" w:rsidP="00572903">
      <w:pPr>
        <w:jc w:val="center"/>
        <w:rPr>
          <w:b/>
        </w:rPr>
      </w:pPr>
      <w:r>
        <w:rPr>
          <w:noProof/>
        </w:rPr>
        <w:drawing>
          <wp:inline distT="0" distB="0" distL="0" distR="0" wp14:anchorId="26A2EA66" wp14:editId="530718AE">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b/>
        </w:rPr>
        <w:t xml:space="preserve"> </w:t>
      </w:r>
      <w:r w:rsidR="00572903">
        <w:rPr>
          <w:b/>
        </w:rPr>
        <w:br w:type="page"/>
      </w:r>
    </w:p>
    <w:p w:rsidR="00702EE2" w:rsidRPr="00702EE2" w:rsidRDefault="00702EE2" w:rsidP="00702EE2">
      <w:pPr>
        <w:jc w:val="left"/>
      </w:pPr>
      <w:r w:rsidRPr="00702EE2">
        <w:rPr>
          <w:b/>
        </w:rPr>
        <w:lastRenderedPageBreak/>
        <w:t>Figure 3:</w:t>
      </w:r>
      <w:r>
        <w:rPr>
          <w:b/>
        </w:rPr>
        <w:t xml:space="preserve"> </w:t>
      </w:r>
      <w:r w:rsidRPr="00702EE2">
        <w:t xml:space="preserve">Showing the comparison of the Net Profit Margin between the periods of 2019 to 2020 </w:t>
      </w:r>
    </w:p>
    <w:p w:rsidR="00702EE2" w:rsidRDefault="0096602E" w:rsidP="00A8187A">
      <w:pPr>
        <w:jc w:val="center"/>
        <w:rPr>
          <w:b/>
        </w:rPr>
      </w:pPr>
      <w:r>
        <w:rPr>
          <w:noProof/>
        </w:rPr>
        <w:drawing>
          <wp:inline distT="0" distB="0" distL="0" distR="0" wp14:anchorId="524AABF1" wp14:editId="15B32980">
            <wp:extent cx="5143500" cy="290512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02EE2" w:rsidRDefault="00702EE2" w:rsidP="006C5D87">
      <w:pPr>
        <w:jc w:val="left"/>
        <w:rPr>
          <w:b/>
        </w:rPr>
      </w:pPr>
      <w:r>
        <w:rPr>
          <w:b/>
        </w:rPr>
        <w:t xml:space="preserve">Figure 4: </w:t>
      </w:r>
      <w:r w:rsidRPr="00702EE2">
        <w:t xml:space="preserve">Shows the comparison of the </w:t>
      </w:r>
      <w:r w:rsidR="00190DB6">
        <w:t xml:space="preserve">Inventory Turnover </w:t>
      </w:r>
      <w:r w:rsidRPr="00702EE2">
        <w:t>in the period of 2019 to 2020</w:t>
      </w:r>
    </w:p>
    <w:p w:rsidR="00572903" w:rsidRDefault="0096602E" w:rsidP="006C5D87">
      <w:pPr>
        <w:jc w:val="center"/>
        <w:rPr>
          <w:b/>
        </w:rPr>
      </w:pPr>
      <w:r>
        <w:rPr>
          <w:noProof/>
        </w:rPr>
        <w:drawing>
          <wp:inline distT="0" distB="0" distL="0" distR="0" wp14:anchorId="154BCB06" wp14:editId="17B86F83">
            <wp:extent cx="4886325" cy="3357564"/>
            <wp:effectExtent l="0" t="0" r="952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C5D87" w:rsidRDefault="00572903" w:rsidP="00572903">
      <w:pPr>
        <w:spacing w:line="276" w:lineRule="auto"/>
        <w:jc w:val="left"/>
        <w:rPr>
          <w:b/>
        </w:rPr>
      </w:pPr>
      <w:r>
        <w:rPr>
          <w:b/>
        </w:rPr>
        <w:br w:type="page"/>
      </w:r>
    </w:p>
    <w:p w:rsidR="006C5D87" w:rsidRDefault="006C5D87" w:rsidP="004876D0">
      <w:pPr>
        <w:jc w:val="left"/>
        <w:rPr>
          <w:b/>
        </w:rPr>
      </w:pPr>
      <w:r>
        <w:rPr>
          <w:b/>
        </w:rPr>
        <w:lastRenderedPageBreak/>
        <w:t xml:space="preserve">Figure 5: </w:t>
      </w:r>
      <w:r w:rsidR="00BD4064" w:rsidRPr="00702EE2">
        <w:t xml:space="preserve">Showing the comparison of the </w:t>
      </w:r>
      <w:r w:rsidR="00BD4064">
        <w:t xml:space="preserve">Acid Test Ratio </w:t>
      </w:r>
      <w:r w:rsidR="00BD4064" w:rsidRPr="00702EE2">
        <w:t>between the periods of 2019 to 2020</w:t>
      </w:r>
    </w:p>
    <w:p w:rsidR="000E0923" w:rsidRDefault="0096602E" w:rsidP="00572903">
      <w:pPr>
        <w:jc w:val="center"/>
        <w:rPr>
          <w:b/>
        </w:rPr>
      </w:pPr>
      <w:r>
        <w:rPr>
          <w:noProof/>
        </w:rPr>
        <w:drawing>
          <wp:inline distT="0" distB="0" distL="0" distR="0" wp14:anchorId="199AAF43" wp14:editId="5E42596E">
            <wp:extent cx="4981576" cy="2881313"/>
            <wp:effectExtent l="0" t="0" r="9525"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16B8D" w:rsidRPr="004C0723" w:rsidRDefault="006C5D87" w:rsidP="004C0723">
      <w:pPr>
        <w:spacing w:line="276" w:lineRule="auto"/>
        <w:jc w:val="left"/>
        <w:rPr>
          <w:b/>
        </w:rPr>
      </w:pPr>
      <w:r>
        <w:rPr>
          <w:b/>
        </w:rPr>
        <w:br w:type="page"/>
      </w:r>
      <w:bookmarkStart w:id="42" w:name="_Toc97995272"/>
      <w:bookmarkStart w:id="43" w:name="_Toc97997712"/>
      <w:bookmarkStart w:id="44" w:name="_Toc97997871"/>
    </w:p>
    <w:p w:rsidR="00DE6135" w:rsidRDefault="007B546E" w:rsidP="007B546E">
      <w:pPr>
        <w:pStyle w:val="Heading1"/>
      </w:pPr>
      <w:bookmarkStart w:id="45" w:name="_Toc98507138"/>
      <w:bookmarkStart w:id="46" w:name="_Toc98507339"/>
      <w:bookmarkStart w:id="47" w:name="_Toc98509743"/>
      <w:r>
        <w:lastRenderedPageBreak/>
        <w:t>Data Analysis</w:t>
      </w:r>
      <w:bookmarkEnd w:id="42"/>
      <w:bookmarkEnd w:id="43"/>
      <w:bookmarkEnd w:id="44"/>
      <w:bookmarkEnd w:id="45"/>
      <w:bookmarkEnd w:id="46"/>
      <w:bookmarkEnd w:id="47"/>
    </w:p>
    <w:p w:rsidR="00096928" w:rsidRPr="00096928" w:rsidRDefault="00096928" w:rsidP="00096928">
      <w:pPr>
        <w:spacing w:before="240" w:after="240"/>
        <w:rPr>
          <w:rFonts w:eastAsia="Times New Roman" w:cs="Times New Roman"/>
          <w:szCs w:val="24"/>
        </w:rPr>
      </w:pPr>
      <w:r w:rsidRPr="00096928">
        <w:rPr>
          <w:rFonts w:eastAsia="Times New Roman" w:cs="Times New Roman"/>
          <w:color w:val="000000"/>
          <w:szCs w:val="24"/>
        </w:rPr>
        <w:t>Figure one represents the comparison of the total assets, liabilities, and equity for the financial year 2019 to 2020. In the year 2019, the total assets were 8.8 million and in 2020, 9.7 million. There was an increase of nine hundred thousand between the years. The total liabilities for both years remain the same at 3million. And the total equity for 2019 was 5.9 million whilst in 2020, it was 6.8million which means an increase of nine hundred thousand dollars happened between the years.</w:t>
      </w:r>
    </w:p>
    <w:p w:rsidR="00096928" w:rsidRPr="00096928" w:rsidRDefault="00096928" w:rsidP="00096928">
      <w:pPr>
        <w:spacing w:before="240" w:after="240"/>
        <w:rPr>
          <w:rFonts w:eastAsia="Times New Roman" w:cs="Times New Roman"/>
          <w:szCs w:val="24"/>
        </w:rPr>
      </w:pPr>
      <w:r w:rsidRPr="00096928">
        <w:rPr>
          <w:rFonts w:eastAsia="Times New Roman" w:cs="Times New Roman"/>
          <w:color w:val="000000"/>
          <w:szCs w:val="24"/>
        </w:rPr>
        <w:t>Figure two shows the comparison of the return on capital for the periods of 2019 to 2020. In 2019, the capital ratio for the company was 18% however in 2020 the capital ratio amounted to 15%. A 3% decrease happened during this period.</w:t>
      </w:r>
    </w:p>
    <w:p w:rsidR="00096928" w:rsidRPr="00096928" w:rsidRDefault="00096928" w:rsidP="00096928">
      <w:pPr>
        <w:spacing w:before="240" w:after="240"/>
        <w:rPr>
          <w:rFonts w:eastAsia="Times New Roman" w:cs="Times New Roman"/>
          <w:szCs w:val="24"/>
        </w:rPr>
      </w:pPr>
      <w:r w:rsidRPr="00096928">
        <w:rPr>
          <w:rFonts w:eastAsia="Times New Roman" w:cs="Times New Roman"/>
          <w:color w:val="000000"/>
          <w:szCs w:val="24"/>
        </w:rPr>
        <w:t>Figure three shows the comparison of the net profit margin between the periods of 2019 to 2020. In 2019 the Net Profit margin was 14% but in 2020 it was 12%. There was a 2% decrease between the period of 2019 and 2020 for the Net Profit Margin.</w:t>
      </w:r>
    </w:p>
    <w:p w:rsidR="00096928" w:rsidRPr="00096928" w:rsidRDefault="00096928" w:rsidP="00096928">
      <w:pPr>
        <w:spacing w:before="240" w:after="240"/>
        <w:rPr>
          <w:rFonts w:eastAsia="Times New Roman" w:cs="Times New Roman"/>
          <w:szCs w:val="24"/>
        </w:rPr>
      </w:pPr>
      <w:r w:rsidRPr="00096928">
        <w:rPr>
          <w:rFonts w:eastAsia="Times New Roman" w:cs="Times New Roman"/>
          <w:color w:val="000000"/>
          <w:szCs w:val="24"/>
        </w:rPr>
        <w:t>Figure four shows the comparison of the inventory turnover in the period of 2019 to 2020. In 2019, the inventory turnover was 4.13 times whilst in 2020 it was 4.25 times. Between this period, there was a 0.12 times increase that occurred.</w:t>
      </w:r>
    </w:p>
    <w:p w:rsidR="002A5B92" w:rsidRPr="002A5B92" w:rsidRDefault="002A5B92" w:rsidP="002A5B92"/>
    <w:p w:rsidR="007B546E" w:rsidRDefault="007B546E">
      <w:pPr>
        <w:spacing w:line="276" w:lineRule="auto"/>
        <w:jc w:val="left"/>
      </w:pPr>
      <w:r>
        <w:br w:type="page"/>
      </w:r>
    </w:p>
    <w:p w:rsidR="004C0723" w:rsidRDefault="004C0723" w:rsidP="004C0723">
      <w:pPr>
        <w:pStyle w:val="Heading1"/>
      </w:pPr>
      <w:bookmarkStart w:id="48" w:name="_Toc98507139"/>
      <w:bookmarkStart w:id="49" w:name="_Toc98507340"/>
      <w:bookmarkStart w:id="50" w:name="_Toc98509744"/>
      <w:bookmarkStart w:id="51" w:name="_Toc97995273"/>
      <w:bookmarkStart w:id="52" w:name="_Toc97997713"/>
      <w:bookmarkStart w:id="53" w:name="_Toc97997872"/>
      <w:r>
        <w:lastRenderedPageBreak/>
        <w:t>Evaluation of Data</w:t>
      </w:r>
      <w:bookmarkEnd w:id="48"/>
      <w:bookmarkEnd w:id="49"/>
      <w:bookmarkEnd w:id="50"/>
    </w:p>
    <w:p w:rsidR="00676369" w:rsidRPr="00676369" w:rsidRDefault="00676369" w:rsidP="00676369">
      <w:pPr>
        <w:rPr>
          <w:rFonts w:eastAsia="Times New Roman" w:cs="Times New Roman"/>
          <w:szCs w:val="24"/>
        </w:rPr>
      </w:pPr>
      <w:r w:rsidRPr="00676369">
        <w:rPr>
          <w:rFonts w:eastAsia="Times New Roman" w:cs="Times New Roman"/>
          <w:color w:val="000000"/>
          <w:szCs w:val="24"/>
        </w:rPr>
        <w:t>The financial statement of LASCO Manufacturing Limited was utilized in calculating and representing the ratio analysis to analyze the operation of the organization. These ratios were characterized by efficiency, profitability, and liquidity.</w:t>
      </w:r>
    </w:p>
    <w:p w:rsidR="00676369" w:rsidRPr="00676369" w:rsidRDefault="00676369" w:rsidP="00676369">
      <w:pPr>
        <w:rPr>
          <w:rFonts w:eastAsia="Times New Roman" w:cs="Times New Roman"/>
          <w:szCs w:val="24"/>
        </w:rPr>
      </w:pPr>
      <w:r w:rsidRPr="00676369">
        <w:rPr>
          <w:rFonts w:eastAsia="Times New Roman" w:cs="Times New Roman"/>
          <w:color w:val="000000"/>
          <w:szCs w:val="24"/>
        </w:rPr>
        <w:t xml:space="preserve">Firstly, as seen in Figure one, there was an increase of nine hundred thousand in the value of assets during the period specified. This implies that the firm may have used up some of its reserve or income earned in 2019 to invest in more assets for progressive growth of the operation of the business. This also correlates to Figure five, which depicts a growth in the acid test ratio. Possibly since more assets were injected, the organization may </w:t>
      </w:r>
      <w:proofErr w:type="gramStart"/>
      <w:r w:rsidRPr="00676369">
        <w:rPr>
          <w:rFonts w:eastAsia="Times New Roman" w:cs="Times New Roman"/>
          <w:color w:val="000000"/>
          <w:szCs w:val="24"/>
        </w:rPr>
        <w:t>had</w:t>
      </w:r>
      <w:proofErr w:type="gramEnd"/>
      <w:r w:rsidRPr="00676369">
        <w:rPr>
          <w:rFonts w:eastAsia="Times New Roman" w:cs="Times New Roman"/>
          <w:color w:val="000000"/>
          <w:szCs w:val="24"/>
        </w:rPr>
        <w:t xml:space="preserve"> substantially more assets than liabilities which mean the firm could cover its short-term or long-term obligation. This also leads to why the firm was also able to cover their liabilities because the amount owed remains the same during the period represented in Figure one as well. Additionally, the firm's acid test ratio surpassed 1:1, proving that the test ratio was favorable.</w:t>
      </w:r>
    </w:p>
    <w:p w:rsidR="00676369" w:rsidRPr="00676369" w:rsidRDefault="00676369" w:rsidP="00676369">
      <w:pPr>
        <w:rPr>
          <w:rFonts w:eastAsia="Times New Roman" w:cs="Times New Roman"/>
          <w:szCs w:val="24"/>
        </w:rPr>
      </w:pPr>
      <w:r w:rsidRPr="00676369">
        <w:rPr>
          <w:rFonts w:eastAsia="Times New Roman" w:cs="Times New Roman"/>
          <w:color w:val="000000"/>
          <w:szCs w:val="24"/>
        </w:rPr>
        <w:t>Secondly, a relationship was identified between the results of the increase of the capital's value and the decline in its return on capital shown in Figure one and Figure two respectively. This shows that LASCO Manufacturing Limited had excessive capital and was not efficiently running the usage of this growth in capital to sustain the business enough by generating more profits from the capital employed. This may also include holding on to unused, obsolete materials which are likely to reduce the return on capital. Ultimately, this indicates the loss of competitiveness since many large manufacturing firms are of capital-intensive types, meaning they predominantly rely on capital for their economic growth in their target market.</w:t>
      </w:r>
    </w:p>
    <w:p w:rsidR="00676369" w:rsidRPr="00676369" w:rsidRDefault="00676369" w:rsidP="00676369">
      <w:pPr>
        <w:rPr>
          <w:rFonts w:eastAsia="Times New Roman" w:cs="Times New Roman"/>
          <w:szCs w:val="24"/>
        </w:rPr>
      </w:pPr>
      <w:r w:rsidRPr="00676369">
        <w:rPr>
          <w:rFonts w:eastAsia="Times New Roman" w:cs="Times New Roman"/>
          <w:color w:val="000000"/>
          <w:szCs w:val="24"/>
        </w:rPr>
        <w:lastRenderedPageBreak/>
        <w:t xml:space="preserve">Lastly, in Figure four, there was a slight increase in the inventory turnover during the period. In contrast, there was a reduction in the net profit margin as depicted in Figure three. Even though a company is selling goods quickly does not mean there will be an increase in net profit. Consequently, this decline in profit may be due to an increase in expenditures like overhead expenses. Additionally, there may have also been an increase in the price of raw materials which may not have been passed on to its customers. </w:t>
      </w:r>
    </w:p>
    <w:p w:rsidR="004C0723" w:rsidRDefault="004C0723" w:rsidP="004C0723"/>
    <w:p w:rsidR="004C0723" w:rsidRPr="004C0723" w:rsidRDefault="004C0723" w:rsidP="0019697A">
      <w:pPr>
        <w:spacing w:line="276" w:lineRule="auto"/>
        <w:jc w:val="left"/>
      </w:pPr>
      <w:r>
        <w:br w:type="page"/>
      </w:r>
    </w:p>
    <w:p w:rsidR="007B546E" w:rsidRDefault="007B546E" w:rsidP="007B546E">
      <w:pPr>
        <w:pStyle w:val="Heading1"/>
      </w:pPr>
      <w:bookmarkStart w:id="54" w:name="_Toc98507140"/>
      <w:bookmarkStart w:id="55" w:name="_Toc98507341"/>
      <w:bookmarkStart w:id="56" w:name="_Toc98509745"/>
      <w:r>
        <w:lastRenderedPageBreak/>
        <w:t>Recommendation</w:t>
      </w:r>
      <w:bookmarkEnd w:id="51"/>
      <w:bookmarkEnd w:id="52"/>
      <w:bookmarkEnd w:id="53"/>
      <w:bookmarkEnd w:id="54"/>
      <w:bookmarkEnd w:id="55"/>
      <w:bookmarkEnd w:id="56"/>
    </w:p>
    <w:p w:rsidR="00330E7A" w:rsidRPr="00330E7A" w:rsidRDefault="00330E7A" w:rsidP="00330E7A">
      <w:pPr>
        <w:rPr>
          <w:rFonts w:eastAsia="Times New Roman" w:cs="Times New Roman"/>
          <w:szCs w:val="24"/>
        </w:rPr>
      </w:pPr>
      <w:r w:rsidRPr="00330E7A">
        <w:rPr>
          <w:rFonts w:eastAsia="Times New Roman" w:cs="Times New Roman"/>
          <w:color w:val="000000"/>
          <w:szCs w:val="24"/>
        </w:rPr>
        <w:t>It has been observed that LASCO Manufacturing Limited has attained remarkable results within the financial year 2019 and 2020. However, flaws were identified during our research in financial performance. Below are a few recommendations that are advised:</w:t>
      </w:r>
    </w:p>
    <w:p w:rsidR="00330E7A" w:rsidRPr="00330E7A" w:rsidRDefault="00330E7A" w:rsidP="00330E7A">
      <w:pPr>
        <w:rPr>
          <w:rFonts w:eastAsia="Times New Roman" w:cs="Times New Roman"/>
          <w:szCs w:val="24"/>
        </w:rPr>
      </w:pPr>
      <w:r w:rsidRPr="00330E7A">
        <w:rPr>
          <w:rFonts w:eastAsia="Times New Roman" w:cs="Times New Roman"/>
          <w:color w:val="000000"/>
          <w:szCs w:val="24"/>
        </w:rPr>
        <w:t>1.     Try using capital more efficiently. Having excess capital will cause inefficiency in the company which in turn hinder your growth.</w:t>
      </w:r>
    </w:p>
    <w:p w:rsidR="00330E7A" w:rsidRPr="00330E7A" w:rsidRDefault="00330E7A" w:rsidP="00330E7A">
      <w:pPr>
        <w:rPr>
          <w:rFonts w:eastAsia="Times New Roman" w:cs="Times New Roman"/>
          <w:szCs w:val="24"/>
        </w:rPr>
      </w:pPr>
      <w:r w:rsidRPr="00330E7A">
        <w:rPr>
          <w:rFonts w:eastAsia="Times New Roman" w:cs="Times New Roman"/>
          <w:color w:val="000000"/>
          <w:szCs w:val="24"/>
        </w:rPr>
        <w:t>2.     Keep expenses and expenditures on a lower level. Having an excessive amount of expenses to pay and too much outflow of money on extra raw materials will reduce net profit.</w:t>
      </w:r>
    </w:p>
    <w:p w:rsidR="007B546E" w:rsidRDefault="007B546E">
      <w:pPr>
        <w:spacing w:line="276" w:lineRule="auto"/>
        <w:jc w:val="left"/>
        <w:rPr>
          <w:rFonts w:eastAsiaTheme="majorEastAsia" w:cstheme="majorBidi"/>
          <w:b/>
          <w:bCs/>
          <w:color w:val="000000" w:themeColor="text1"/>
          <w:sz w:val="40"/>
          <w:szCs w:val="28"/>
        </w:rPr>
      </w:pPr>
      <w:r>
        <w:br w:type="page"/>
      </w:r>
    </w:p>
    <w:p w:rsidR="007B546E" w:rsidRDefault="007B546E" w:rsidP="007B546E">
      <w:pPr>
        <w:pStyle w:val="Heading1"/>
      </w:pPr>
      <w:bookmarkStart w:id="57" w:name="_Toc97995274"/>
      <w:bookmarkStart w:id="58" w:name="_Toc97997714"/>
      <w:bookmarkStart w:id="59" w:name="_Toc97997873"/>
      <w:bookmarkStart w:id="60" w:name="_Toc98507141"/>
      <w:bookmarkStart w:id="61" w:name="_Toc98507342"/>
      <w:bookmarkStart w:id="62" w:name="_Toc98509746"/>
      <w:r>
        <w:lastRenderedPageBreak/>
        <w:t>Conclusion</w:t>
      </w:r>
      <w:bookmarkEnd w:id="57"/>
      <w:bookmarkEnd w:id="58"/>
      <w:bookmarkEnd w:id="59"/>
      <w:bookmarkEnd w:id="60"/>
      <w:bookmarkEnd w:id="61"/>
      <w:bookmarkEnd w:id="62"/>
    </w:p>
    <w:p w:rsidR="002A5B92" w:rsidRDefault="00330E7A" w:rsidP="002A5B92">
      <w:r>
        <w:rPr>
          <w:color w:val="000000"/>
        </w:rPr>
        <w:t>This research is aimed to ascertain the financial performance of LASCO Manufacturing Limited through liquidity and profitability ratios and it was a success in completing this research. It's fair to say that LASCO Manufacturing Limited has improved tremendously from the financial year of 2019 to 2020 in the aspects that were researched. It is impressive that they attained a higher financial performance in 2020 than 2019 which shows elevations to higher levels.</w:t>
      </w:r>
    </w:p>
    <w:p w:rsidR="002A5B92" w:rsidRDefault="002A5B92" w:rsidP="002A5B92"/>
    <w:p w:rsidR="002A5B92" w:rsidRPr="002A5B92" w:rsidRDefault="002A5B92" w:rsidP="002A5B92"/>
    <w:p w:rsidR="007B546E" w:rsidRDefault="007B546E">
      <w:pPr>
        <w:spacing w:line="276" w:lineRule="auto"/>
        <w:jc w:val="left"/>
        <w:rPr>
          <w:rFonts w:eastAsiaTheme="majorEastAsia" w:cstheme="majorBidi"/>
          <w:b/>
          <w:bCs/>
          <w:color w:val="000000" w:themeColor="text1"/>
          <w:sz w:val="40"/>
          <w:szCs w:val="28"/>
        </w:rPr>
      </w:pPr>
      <w:r>
        <w:br w:type="page"/>
      </w:r>
    </w:p>
    <w:p w:rsidR="004773D5" w:rsidRDefault="00C47E5D" w:rsidP="00C47E5D">
      <w:pPr>
        <w:pStyle w:val="Heading1"/>
      </w:pPr>
      <w:bookmarkStart w:id="63" w:name="_Toc97995276"/>
      <w:bookmarkStart w:id="64" w:name="_Toc97997716"/>
      <w:bookmarkStart w:id="65" w:name="_Toc97997875"/>
      <w:bookmarkStart w:id="66" w:name="_Toc98507142"/>
      <w:bookmarkStart w:id="67" w:name="_Toc98507343"/>
      <w:bookmarkStart w:id="68" w:name="_Toc98509747"/>
      <w:bookmarkStart w:id="69" w:name="_Toc97995275"/>
      <w:bookmarkStart w:id="70" w:name="_Toc97997715"/>
      <w:bookmarkStart w:id="71" w:name="_Toc97997874"/>
      <w:r>
        <w:lastRenderedPageBreak/>
        <w:t>Appendix</w:t>
      </w:r>
      <w:bookmarkEnd w:id="63"/>
      <w:bookmarkEnd w:id="64"/>
      <w:bookmarkEnd w:id="65"/>
      <w:bookmarkEnd w:id="66"/>
      <w:bookmarkEnd w:id="67"/>
      <w:bookmarkEnd w:id="68"/>
    </w:p>
    <w:p w:rsidR="004773D5" w:rsidRDefault="004773D5" w:rsidP="00622E8A">
      <w:pPr>
        <w:spacing w:line="276" w:lineRule="auto"/>
        <w:jc w:val="center"/>
      </w:pPr>
      <w:r>
        <w:rPr>
          <w:noProof/>
        </w:rPr>
        <w:drawing>
          <wp:inline distT="0" distB="0" distL="0" distR="0" wp14:anchorId="6E1643BD" wp14:editId="6731A72A">
            <wp:extent cx="5010150" cy="5429250"/>
            <wp:effectExtent l="0" t="0" r="0" b="0"/>
            <wp:docPr id="17" name="Picture 17" descr="C:\Users\User\Documents\Bandicam\bandicam 2022-03-18 17-52-37-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cuments\Bandicam\bandicam 2022-03-18 17-52-37-33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0150" cy="5429250"/>
                    </a:xfrm>
                    <a:prstGeom prst="rect">
                      <a:avLst/>
                    </a:prstGeom>
                    <a:noFill/>
                    <a:ln>
                      <a:noFill/>
                    </a:ln>
                  </pic:spPr>
                </pic:pic>
              </a:graphicData>
            </a:graphic>
          </wp:inline>
        </w:drawing>
      </w:r>
    </w:p>
    <w:p w:rsidR="004773D5" w:rsidRDefault="004773D5">
      <w:pPr>
        <w:spacing w:line="276" w:lineRule="auto"/>
        <w:jc w:val="left"/>
      </w:pPr>
      <w:r>
        <w:br w:type="page"/>
      </w:r>
    </w:p>
    <w:p w:rsidR="004773D5" w:rsidRDefault="004773D5" w:rsidP="004773D5">
      <w:pPr>
        <w:spacing w:line="276" w:lineRule="auto"/>
        <w:jc w:val="center"/>
      </w:pPr>
      <w:r>
        <w:rPr>
          <w:noProof/>
        </w:rPr>
        <w:lastRenderedPageBreak/>
        <w:drawing>
          <wp:inline distT="0" distB="0" distL="0" distR="0" wp14:anchorId="76E6D9AF" wp14:editId="113A1034">
            <wp:extent cx="4800600" cy="5429250"/>
            <wp:effectExtent l="0" t="0" r="0" b="0"/>
            <wp:docPr id="18" name="Picture 18" descr="C:\Users\User\Documents\Bandicam\bandicam 2022-03-18 17-54-25-9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cuments\Bandicam\bandicam 2022-03-18 17-54-25-93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5429250"/>
                    </a:xfrm>
                    <a:prstGeom prst="rect">
                      <a:avLst/>
                    </a:prstGeom>
                    <a:noFill/>
                    <a:ln>
                      <a:noFill/>
                    </a:ln>
                  </pic:spPr>
                </pic:pic>
              </a:graphicData>
            </a:graphic>
          </wp:inline>
        </w:drawing>
      </w:r>
    </w:p>
    <w:p w:rsidR="004773D5" w:rsidRDefault="004773D5" w:rsidP="004773D5">
      <w:pPr>
        <w:spacing w:line="276" w:lineRule="auto"/>
        <w:jc w:val="center"/>
      </w:pPr>
    </w:p>
    <w:p w:rsidR="004773D5" w:rsidRDefault="004773D5" w:rsidP="004773D5">
      <w:pPr>
        <w:spacing w:line="276" w:lineRule="auto"/>
        <w:jc w:val="left"/>
        <w:rPr>
          <w:rFonts w:eastAsiaTheme="majorEastAsia" w:cstheme="majorBidi"/>
          <w:b/>
          <w:bCs/>
          <w:color w:val="000000" w:themeColor="text1"/>
          <w:sz w:val="40"/>
          <w:szCs w:val="28"/>
        </w:rPr>
      </w:pPr>
      <w:r>
        <w:br w:type="page"/>
      </w:r>
    </w:p>
    <w:p w:rsidR="00C47E5D" w:rsidRDefault="00C47E5D" w:rsidP="00C47E5D">
      <w:pPr>
        <w:pStyle w:val="Heading1"/>
      </w:pPr>
    </w:p>
    <w:p w:rsidR="00C47E5D" w:rsidRPr="001C64AF" w:rsidRDefault="00C47E5D" w:rsidP="00C47E5D">
      <w:pPr>
        <w:spacing w:line="360" w:lineRule="auto"/>
        <w:rPr>
          <w:b/>
        </w:rPr>
      </w:pPr>
      <w:r w:rsidRPr="001C64AF">
        <w:rPr>
          <w:b/>
        </w:rPr>
        <w:t>Tables</w:t>
      </w:r>
    </w:p>
    <w:p w:rsidR="00C47E5D" w:rsidRDefault="00C47E5D" w:rsidP="00C47E5D">
      <w:pPr>
        <w:spacing w:line="360" w:lineRule="auto"/>
      </w:pPr>
      <w:r>
        <w:t>Table 1: Showing the comparison of Ratios during 2019 to 2020</w:t>
      </w:r>
    </w:p>
    <w:tbl>
      <w:tblPr>
        <w:tblStyle w:val="TableGrid"/>
        <w:tblW w:w="0" w:type="auto"/>
        <w:tblLook w:val="04A0" w:firstRow="1" w:lastRow="0" w:firstColumn="1" w:lastColumn="0" w:noHBand="0" w:noVBand="1"/>
      </w:tblPr>
      <w:tblGrid>
        <w:gridCol w:w="3192"/>
        <w:gridCol w:w="3192"/>
        <w:gridCol w:w="3192"/>
      </w:tblGrid>
      <w:tr w:rsidR="00C47E5D" w:rsidTr="00281111">
        <w:tc>
          <w:tcPr>
            <w:tcW w:w="3192" w:type="dxa"/>
          </w:tcPr>
          <w:p w:rsidR="00C47E5D" w:rsidRPr="00585549" w:rsidRDefault="00C47E5D" w:rsidP="00281111">
            <w:pPr>
              <w:spacing w:line="360" w:lineRule="auto"/>
              <w:rPr>
                <w:b/>
              </w:rPr>
            </w:pPr>
            <w:r w:rsidRPr="00585549">
              <w:rPr>
                <w:b/>
              </w:rPr>
              <w:t>Name of Ratio</w:t>
            </w:r>
          </w:p>
        </w:tc>
        <w:tc>
          <w:tcPr>
            <w:tcW w:w="3192" w:type="dxa"/>
          </w:tcPr>
          <w:p w:rsidR="00C47E5D" w:rsidRPr="00585549" w:rsidRDefault="00C47E5D" w:rsidP="00281111">
            <w:pPr>
              <w:spacing w:line="360" w:lineRule="auto"/>
              <w:rPr>
                <w:b/>
              </w:rPr>
            </w:pPr>
            <w:r w:rsidRPr="00585549">
              <w:rPr>
                <w:b/>
              </w:rPr>
              <w:t>2019</w:t>
            </w:r>
          </w:p>
        </w:tc>
        <w:tc>
          <w:tcPr>
            <w:tcW w:w="3192" w:type="dxa"/>
          </w:tcPr>
          <w:p w:rsidR="00C47E5D" w:rsidRPr="00585549" w:rsidRDefault="00C47E5D" w:rsidP="00281111">
            <w:pPr>
              <w:spacing w:line="360" w:lineRule="auto"/>
              <w:rPr>
                <w:b/>
              </w:rPr>
            </w:pPr>
            <w:r w:rsidRPr="00585549">
              <w:rPr>
                <w:b/>
              </w:rPr>
              <w:t>2020</w:t>
            </w:r>
          </w:p>
        </w:tc>
      </w:tr>
      <w:tr w:rsidR="00C47E5D" w:rsidTr="00281111">
        <w:tc>
          <w:tcPr>
            <w:tcW w:w="3192" w:type="dxa"/>
          </w:tcPr>
          <w:p w:rsidR="00C47E5D" w:rsidRDefault="00C47E5D" w:rsidP="00281111">
            <w:pPr>
              <w:spacing w:line="360" w:lineRule="auto"/>
            </w:pPr>
            <w:r>
              <w:t>Return on Capital</w:t>
            </w:r>
          </w:p>
        </w:tc>
        <w:tc>
          <w:tcPr>
            <w:tcW w:w="3192" w:type="dxa"/>
          </w:tcPr>
          <w:p w:rsidR="00C47E5D" w:rsidRDefault="00C47E5D" w:rsidP="00281111">
            <w:pPr>
              <w:spacing w:line="360" w:lineRule="auto"/>
            </w:pPr>
            <w:r>
              <w:t>18%</w:t>
            </w:r>
          </w:p>
        </w:tc>
        <w:tc>
          <w:tcPr>
            <w:tcW w:w="3192" w:type="dxa"/>
          </w:tcPr>
          <w:p w:rsidR="00C47E5D" w:rsidRDefault="00C47E5D" w:rsidP="00281111">
            <w:pPr>
              <w:spacing w:line="360" w:lineRule="auto"/>
            </w:pPr>
            <w:r>
              <w:t>15%</w:t>
            </w:r>
          </w:p>
        </w:tc>
      </w:tr>
      <w:tr w:rsidR="00C47E5D" w:rsidTr="00281111">
        <w:tc>
          <w:tcPr>
            <w:tcW w:w="3192" w:type="dxa"/>
          </w:tcPr>
          <w:p w:rsidR="00C47E5D" w:rsidRDefault="00C47E5D" w:rsidP="00281111">
            <w:pPr>
              <w:spacing w:line="360" w:lineRule="auto"/>
            </w:pPr>
            <w:r>
              <w:t>Net Profit Margin</w:t>
            </w:r>
          </w:p>
        </w:tc>
        <w:tc>
          <w:tcPr>
            <w:tcW w:w="3192" w:type="dxa"/>
          </w:tcPr>
          <w:p w:rsidR="00C47E5D" w:rsidRDefault="00C47E5D" w:rsidP="00281111">
            <w:pPr>
              <w:spacing w:line="360" w:lineRule="auto"/>
            </w:pPr>
            <w:r>
              <w:t>14%</w:t>
            </w:r>
          </w:p>
        </w:tc>
        <w:tc>
          <w:tcPr>
            <w:tcW w:w="3192" w:type="dxa"/>
          </w:tcPr>
          <w:p w:rsidR="00C47E5D" w:rsidRDefault="00C47E5D" w:rsidP="00281111">
            <w:pPr>
              <w:spacing w:line="360" w:lineRule="auto"/>
            </w:pPr>
            <w:r>
              <w:t>12%</w:t>
            </w:r>
          </w:p>
        </w:tc>
      </w:tr>
      <w:tr w:rsidR="00C47E5D" w:rsidTr="00281111">
        <w:tc>
          <w:tcPr>
            <w:tcW w:w="3192" w:type="dxa"/>
          </w:tcPr>
          <w:p w:rsidR="00C47E5D" w:rsidRDefault="00C47E5D" w:rsidP="00281111">
            <w:pPr>
              <w:spacing w:line="360" w:lineRule="auto"/>
            </w:pPr>
            <w:r>
              <w:t>Inventory Turnover Ratio</w:t>
            </w:r>
          </w:p>
        </w:tc>
        <w:tc>
          <w:tcPr>
            <w:tcW w:w="3192" w:type="dxa"/>
          </w:tcPr>
          <w:p w:rsidR="00C47E5D" w:rsidRDefault="00C47E5D" w:rsidP="00281111">
            <w:pPr>
              <w:spacing w:line="360" w:lineRule="auto"/>
            </w:pPr>
            <w:r>
              <w:t>4.13 times</w:t>
            </w:r>
          </w:p>
        </w:tc>
        <w:tc>
          <w:tcPr>
            <w:tcW w:w="3192" w:type="dxa"/>
          </w:tcPr>
          <w:p w:rsidR="00C47E5D" w:rsidRDefault="00C47E5D" w:rsidP="00281111">
            <w:pPr>
              <w:spacing w:line="360" w:lineRule="auto"/>
            </w:pPr>
            <w:r>
              <w:t>4.25 times</w:t>
            </w:r>
          </w:p>
        </w:tc>
      </w:tr>
      <w:tr w:rsidR="00C47E5D" w:rsidTr="00281111">
        <w:tc>
          <w:tcPr>
            <w:tcW w:w="3192" w:type="dxa"/>
          </w:tcPr>
          <w:p w:rsidR="00C47E5D" w:rsidRDefault="00C47E5D" w:rsidP="00281111">
            <w:pPr>
              <w:spacing w:line="360" w:lineRule="auto"/>
            </w:pPr>
            <w:r>
              <w:t>Acid Test Ratio</w:t>
            </w:r>
          </w:p>
        </w:tc>
        <w:tc>
          <w:tcPr>
            <w:tcW w:w="3192" w:type="dxa"/>
          </w:tcPr>
          <w:p w:rsidR="00C47E5D" w:rsidRDefault="00C47E5D" w:rsidP="00281111">
            <w:pPr>
              <w:spacing w:line="360" w:lineRule="auto"/>
            </w:pPr>
            <w:r>
              <w:t>1.927</w:t>
            </w:r>
          </w:p>
        </w:tc>
        <w:tc>
          <w:tcPr>
            <w:tcW w:w="3192" w:type="dxa"/>
          </w:tcPr>
          <w:p w:rsidR="00C47E5D" w:rsidRDefault="00C47E5D" w:rsidP="00281111">
            <w:pPr>
              <w:spacing w:line="360" w:lineRule="auto"/>
            </w:pPr>
            <w:r>
              <w:t>1.966</w:t>
            </w:r>
          </w:p>
        </w:tc>
      </w:tr>
    </w:tbl>
    <w:p w:rsidR="00C47E5D" w:rsidRDefault="00C47E5D" w:rsidP="00C47E5D"/>
    <w:p w:rsidR="00C47E5D" w:rsidRPr="00755F37" w:rsidRDefault="00C47E5D" w:rsidP="00C47E5D">
      <w:pPr>
        <w:spacing w:line="360" w:lineRule="auto"/>
        <w:rPr>
          <w:rFonts w:eastAsia="Times New Roman" w:cs="Times New Roman"/>
          <w:szCs w:val="24"/>
        </w:rPr>
      </w:pPr>
      <w:r w:rsidRPr="00755F37">
        <w:rPr>
          <w:b/>
        </w:rPr>
        <w:t>Table 2:</w:t>
      </w:r>
      <w:r>
        <w:t xml:space="preserve"> </w:t>
      </w:r>
      <w:r w:rsidRPr="00755F37">
        <w:rPr>
          <w:rFonts w:eastAsia="Times New Roman" w:cs="Times New Roman"/>
          <w:szCs w:val="24"/>
        </w:rPr>
        <w:t>Represents the values of assets, liabilities and equity for the financial year 2019 and 2020.</w:t>
      </w:r>
    </w:p>
    <w:tbl>
      <w:tblPr>
        <w:tblStyle w:val="TableGrid"/>
        <w:tblW w:w="7980" w:type="dxa"/>
        <w:tblLook w:val="04A0" w:firstRow="1" w:lastRow="0" w:firstColumn="1" w:lastColumn="0" w:noHBand="0" w:noVBand="1"/>
      </w:tblPr>
      <w:tblGrid>
        <w:gridCol w:w="2420"/>
        <w:gridCol w:w="2880"/>
        <w:gridCol w:w="2680"/>
      </w:tblGrid>
      <w:tr w:rsidR="00C47E5D" w:rsidRPr="00585549" w:rsidTr="00281111">
        <w:trPr>
          <w:trHeight w:val="300"/>
        </w:trPr>
        <w:tc>
          <w:tcPr>
            <w:tcW w:w="2420" w:type="dxa"/>
            <w:noWrap/>
            <w:hideMark/>
          </w:tcPr>
          <w:p w:rsidR="00C47E5D" w:rsidRPr="00585549" w:rsidRDefault="00C47E5D" w:rsidP="00281111">
            <w:pPr>
              <w:spacing w:line="360" w:lineRule="auto"/>
              <w:jc w:val="left"/>
              <w:rPr>
                <w:rFonts w:ascii="Calibri" w:eastAsia="Times New Roman" w:hAnsi="Calibri" w:cs="Times New Roman"/>
                <w:b/>
                <w:bCs/>
                <w:i/>
                <w:iCs/>
                <w:color w:val="FFFFFF"/>
                <w:sz w:val="22"/>
              </w:rPr>
            </w:pPr>
            <w:r w:rsidRPr="00626445">
              <w:rPr>
                <w:rFonts w:ascii="Calibri" w:eastAsia="Times New Roman" w:hAnsi="Calibri" w:cs="Times New Roman"/>
                <w:b/>
                <w:bCs/>
                <w:i/>
                <w:iCs/>
                <w:color w:val="000000" w:themeColor="text1"/>
                <w:sz w:val="22"/>
              </w:rPr>
              <w:t>Total</w:t>
            </w:r>
            <w:r>
              <w:rPr>
                <w:rFonts w:ascii="Calibri" w:eastAsia="Times New Roman" w:hAnsi="Calibri" w:cs="Times New Roman"/>
                <w:b/>
                <w:bCs/>
                <w:i/>
                <w:iCs/>
                <w:color w:val="000000" w:themeColor="text1"/>
                <w:sz w:val="22"/>
              </w:rPr>
              <w:t>s</w:t>
            </w:r>
          </w:p>
        </w:tc>
        <w:tc>
          <w:tcPr>
            <w:tcW w:w="2880" w:type="dxa"/>
            <w:noWrap/>
            <w:hideMark/>
          </w:tcPr>
          <w:p w:rsidR="00C47E5D" w:rsidRPr="00585549" w:rsidRDefault="00C47E5D" w:rsidP="00281111">
            <w:pPr>
              <w:spacing w:line="360" w:lineRule="auto"/>
              <w:jc w:val="right"/>
              <w:rPr>
                <w:rFonts w:ascii="Calibri" w:eastAsia="Times New Roman" w:hAnsi="Calibri" w:cs="Times New Roman"/>
                <w:b/>
                <w:bCs/>
                <w:i/>
                <w:iCs/>
                <w:color w:val="FF3300"/>
                <w:sz w:val="22"/>
              </w:rPr>
            </w:pPr>
            <w:r w:rsidRPr="00585549">
              <w:rPr>
                <w:rFonts w:ascii="Calibri" w:eastAsia="Times New Roman" w:hAnsi="Calibri" w:cs="Times New Roman"/>
                <w:b/>
                <w:bCs/>
                <w:i/>
                <w:iCs/>
                <w:color w:val="000000" w:themeColor="text1"/>
                <w:sz w:val="22"/>
              </w:rPr>
              <w:t>2019</w:t>
            </w:r>
          </w:p>
        </w:tc>
        <w:tc>
          <w:tcPr>
            <w:tcW w:w="2680" w:type="dxa"/>
            <w:noWrap/>
            <w:hideMark/>
          </w:tcPr>
          <w:p w:rsidR="00C47E5D" w:rsidRPr="00585549" w:rsidRDefault="00C47E5D" w:rsidP="00281111">
            <w:pPr>
              <w:spacing w:line="360" w:lineRule="auto"/>
              <w:jc w:val="right"/>
              <w:rPr>
                <w:rFonts w:ascii="Calibri" w:eastAsia="Times New Roman" w:hAnsi="Calibri" w:cs="Times New Roman"/>
                <w:b/>
                <w:bCs/>
                <w:i/>
                <w:iCs/>
                <w:color w:val="000000" w:themeColor="text1"/>
                <w:sz w:val="22"/>
              </w:rPr>
            </w:pPr>
            <w:r w:rsidRPr="00585549">
              <w:rPr>
                <w:rFonts w:ascii="Calibri" w:eastAsia="Times New Roman" w:hAnsi="Calibri" w:cs="Times New Roman"/>
                <w:b/>
                <w:bCs/>
                <w:i/>
                <w:iCs/>
                <w:color w:val="000000" w:themeColor="text1"/>
                <w:sz w:val="22"/>
              </w:rPr>
              <w:t>2020</w:t>
            </w:r>
          </w:p>
        </w:tc>
      </w:tr>
      <w:tr w:rsidR="00C47E5D" w:rsidRPr="00585549" w:rsidTr="00281111">
        <w:trPr>
          <w:trHeight w:val="300"/>
        </w:trPr>
        <w:tc>
          <w:tcPr>
            <w:tcW w:w="2420" w:type="dxa"/>
            <w:noWrap/>
            <w:hideMark/>
          </w:tcPr>
          <w:p w:rsidR="00C47E5D" w:rsidRPr="00585549" w:rsidRDefault="00C47E5D" w:rsidP="00281111">
            <w:pPr>
              <w:spacing w:line="360" w:lineRule="auto"/>
              <w:jc w:val="left"/>
              <w:rPr>
                <w:rFonts w:ascii="Calibri" w:eastAsia="Times New Roman" w:hAnsi="Calibri" w:cs="Times New Roman"/>
                <w:color w:val="000000"/>
                <w:sz w:val="22"/>
              </w:rPr>
            </w:pPr>
            <w:r w:rsidRPr="00585549">
              <w:rPr>
                <w:rFonts w:ascii="Calibri" w:eastAsia="Times New Roman" w:hAnsi="Calibri" w:cs="Times New Roman"/>
                <w:color w:val="000000"/>
                <w:sz w:val="22"/>
              </w:rPr>
              <w:t>Total Assets</w:t>
            </w:r>
          </w:p>
        </w:tc>
        <w:tc>
          <w:tcPr>
            <w:tcW w:w="2880" w:type="dxa"/>
            <w:noWrap/>
            <w:hideMark/>
          </w:tcPr>
          <w:p w:rsidR="00C47E5D" w:rsidRPr="00585549" w:rsidRDefault="00C47E5D" w:rsidP="00281111">
            <w:pPr>
              <w:spacing w:line="360" w:lineRule="auto"/>
              <w:jc w:val="right"/>
              <w:rPr>
                <w:rFonts w:ascii="Calibri" w:eastAsia="Times New Roman" w:hAnsi="Calibri" w:cs="Times New Roman"/>
                <w:color w:val="000000"/>
                <w:sz w:val="22"/>
              </w:rPr>
            </w:pPr>
            <w:r w:rsidRPr="00585549">
              <w:rPr>
                <w:rFonts w:ascii="Calibri" w:eastAsia="Times New Roman" w:hAnsi="Calibri" w:cs="Times New Roman"/>
                <w:color w:val="000000"/>
                <w:sz w:val="22"/>
              </w:rPr>
              <w:t>$8,788,805.00</w:t>
            </w:r>
          </w:p>
        </w:tc>
        <w:tc>
          <w:tcPr>
            <w:tcW w:w="2680" w:type="dxa"/>
            <w:noWrap/>
            <w:hideMark/>
          </w:tcPr>
          <w:p w:rsidR="00C47E5D" w:rsidRPr="00585549" w:rsidRDefault="00C47E5D" w:rsidP="00281111">
            <w:pPr>
              <w:spacing w:line="360" w:lineRule="auto"/>
              <w:jc w:val="right"/>
              <w:rPr>
                <w:rFonts w:ascii="Calibri" w:eastAsia="Times New Roman" w:hAnsi="Calibri" w:cs="Times New Roman"/>
                <w:b/>
                <w:bCs/>
                <w:color w:val="000000" w:themeColor="text1"/>
                <w:sz w:val="22"/>
              </w:rPr>
            </w:pPr>
            <w:r w:rsidRPr="00585549">
              <w:rPr>
                <w:rFonts w:ascii="Calibri" w:eastAsia="Times New Roman" w:hAnsi="Calibri" w:cs="Times New Roman"/>
                <w:b/>
                <w:bCs/>
                <w:color w:val="000000" w:themeColor="text1"/>
                <w:sz w:val="22"/>
              </w:rPr>
              <w:t>$9,738,150.00</w:t>
            </w:r>
          </w:p>
        </w:tc>
      </w:tr>
      <w:tr w:rsidR="00C47E5D" w:rsidRPr="00585549" w:rsidTr="00281111">
        <w:trPr>
          <w:trHeight w:val="300"/>
        </w:trPr>
        <w:tc>
          <w:tcPr>
            <w:tcW w:w="2420" w:type="dxa"/>
            <w:noWrap/>
            <w:hideMark/>
          </w:tcPr>
          <w:p w:rsidR="00C47E5D" w:rsidRPr="00585549" w:rsidRDefault="00C47E5D" w:rsidP="00281111">
            <w:pPr>
              <w:spacing w:line="360" w:lineRule="auto"/>
              <w:jc w:val="left"/>
              <w:rPr>
                <w:rFonts w:ascii="Calibri" w:eastAsia="Times New Roman" w:hAnsi="Calibri" w:cs="Times New Roman"/>
                <w:color w:val="000000"/>
                <w:sz w:val="22"/>
              </w:rPr>
            </w:pPr>
            <w:r w:rsidRPr="00585549">
              <w:rPr>
                <w:rFonts w:ascii="Calibri" w:eastAsia="Times New Roman" w:hAnsi="Calibri" w:cs="Times New Roman"/>
                <w:color w:val="000000"/>
                <w:sz w:val="22"/>
              </w:rPr>
              <w:t>Total Liabilities</w:t>
            </w:r>
          </w:p>
        </w:tc>
        <w:tc>
          <w:tcPr>
            <w:tcW w:w="2880" w:type="dxa"/>
            <w:noWrap/>
            <w:hideMark/>
          </w:tcPr>
          <w:p w:rsidR="00C47E5D" w:rsidRPr="00585549" w:rsidRDefault="00C47E5D" w:rsidP="00281111">
            <w:pPr>
              <w:spacing w:line="360" w:lineRule="auto"/>
              <w:jc w:val="right"/>
              <w:rPr>
                <w:rFonts w:ascii="Calibri" w:eastAsia="Times New Roman" w:hAnsi="Calibri" w:cs="Times New Roman"/>
                <w:color w:val="000000"/>
                <w:sz w:val="22"/>
              </w:rPr>
            </w:pPr>
            <w:r w:rsidRPr="00585549">
              <w:rPr>
                <w:rFonts w:ascii="Calibri" w:eastAsia="Times New Roman" w:hAnsi="Calibri" w:cs="Times New Roman"/>
                <w:color w:val="000000"/>
                <w:sz w:val="22"/>
              </w:rPr>
              <w:t>$2,942,991.00</w:t>
            </w:r>
          </w:p>
        </w:tc>
        <w:tc>
          <w:tcPr>
            <w:tcW w:w="2680" w:type="dxa"/>
            <w:noWrap/>
            <w:hideMark/>
          </w:tcPr>
          <w:p w:rsidR="00C47E5D" w:rsidRPr="00585549" w:rsidRDefault="00C47E5D" w:rsidP="00281111">
            <w:pPr>
              <w:spacing w:line="360" w:lineRule="auto"/>
              <w:jc w:val="right"/>
              <w:rPr>
                <w:rFonts w:ascii="Calibri" w:eastAsia="Times New Roman" w:hAnsi="Calibri" w:cs="Times New Roman"/>
                <w:b/>
                <w:bCs/>
                <w:color w:val="000000" w:themeColor="text1"/>
                <w:sz w:val="22"/>
              </w:rPr>
            </w:pPr>
            <w:r w:rsidRPr="00585549">
              <w:rPr>
                <w:rFonts w:ascii="Calibri" w:eastAsia="Times New Roman" w:hAnsi="Calibri" w:cs="Times New Roman"/>
                <w:b/>
                <w:bCs/>
                <w:color w:val="000000" w:themeColor="text1"/>
                <w:sz w:val="22"/>
              </w:rPr>
              <w:t>$2,987,085.00</w:t>
            </w:r>
          </w:p>
        </w:tc>
      </w:tr>
      <w:tr w:rsidR="00C47E5D" w:rsidRPr="00585549" w:rsidTr="00281111">
        <w:trPr>
          <w:trHeight w:val="300"/>
        </w:trPr>
        <w:tc>
          <w:tcPr>
            <w:tcW w:w="2420" w:type="dxa"/>
            <w:noWrap/>
            <w:hideMark/>
          </w:tcPr>
          <w:p w:rsidR="00C47E5D" w:rsidRPr="00585549" w:rsidRDefault="00C47E5D" w:rsidP="00281111">
            <w:pPr>
              <w:spacing w:line="360" w:lineRule="auto"/>
              <w:jc w:val="left"/>
              <w:rPr>
                <w:rFonts w:ascii="Calibri" w:eastAsia="Times New Roman" w:hAnsi="Calibri" w:cs="Times New Roman"/>
                <w:color w:val="000000"/>
                <w:sz w:val="22"/>
              </w:rPr>
            </w:pPr>
            <w:r w:rsidRPr="00585549">
              <w:rPr>
                <w:rFonts w:ascii="Calibri" w:eastAsia="Times New Roman" w:hAnsi="Calibri" w:cs="Times New Roman"/>
                <w:color w:val="000000"/>
                <w:sz w:val="22"/>
              </w:rPr>
              <w:t>Total Equity</w:t>
            </w:r>
          </w:p>
        </w:tc>
        <w:tc>
          <w:tcPr>
            <w:tcW w:w="2880" w:type="dxa"/>
            <w:noWrap/>
            <w:hideMark/>
          </w:tcPr>
          <w:p w:rsidR="00C47E5D" w:rsidRPr="00585549" w:rsidRDefault="00C47E5D" w:rsidP="00281111">
            <w:pPr>
              <w:spacing w:line="360" w:lineRule="auto"/>
              <w:jc w:val="right"/>
              <w:rPr>
                <w:rFonts w:ascii="Calibri" w:eastAsia="Times New Roman" w:hAnsi="Calibri" w:cs="Times New Roman"/>
                <w:color w:val="000000"/>
                <w:sz w:val="22"/>
              </w:rPr>
            </w:pPr>
            <w:r w:rsidRPr="00585549">
              <w:rPr>
                <w:rFonts w:ascii="Calibri" w:eastAsia="Times New Roman" w:hAnsi="Calibri" w:cs="Times New Roman"/>
                <w:color w:val="000000"/>
                <w:sz w:val="22"/>
              </w:rPr>
              <w:t>$5,845,814.00</w:t>
            </w:r>
          </w:p>
        </w:tc>
        <w:tc>
          <w:tcPr>
            <w:tcW w:w="2680" w:type="dxa"/>
            <w:noWrap/>
            <w:hideMark/>
          </w:tcPr>
          <w:p w:rsidR="00C47E5D" w:rsidRPr="00585549" w:rsidRDefault="00C47E5D" w:rsidP="00281111">
            <w:pPr>
              <w:spacing w:line="360" w:lineRule="auto"/>
              <w:jc w:val="right"/>
              <w:rPr>
                <w:rFonts w:ascii="Calibri" w:eastAsia="Times New Roman" w:hAnsi="Calibri" w:cs="Times New Roman"/>
                <w:b/>
                <w:bCs/>
                <w:color w:val="000000" w:themeColor="text1"/>
                <w:sz w:val="22"/>
              </w:rPr>
            </w:pPr>
            <w:r w:rsidRPr="00585549">
              <w:rPr>
                <w:rFonts w:ascii="Calibri" w:eastAsia="Times New Roman" w:hAnsi="Calibri" w:cs="Times New Roman"/>
                <w:b/>
                <w:bCs/>
                <w:color w:val="000000" w:themeColor="text1"/>
                <w:sz w:val="22"/>
              </w:rPr>
              <w:t>$6,751,065.00</w:t>
            </w:r>
          </w:p>
        </w:tc>
      </w:tr>
    </w:tbl>
    <w:p w:rsidR="00C47E5D" w:rsidRDefault="00C47E5D" w:rsidP="00C47E5D">
      <w:pPr>
        <w:spacing w:line="360" w:lineRule="auto"/>
        <w:rPr>
          <w:b/>
        </w:rPr>
      </w:pPr>
    </w:p>
    <w:p w:rsidR="00C47E5D" w:rsidRDefault="00C47E5D" w:rsidP="00C073E1">
      <w:pPr>
        <w:rPr>
          <w:b/>
        </w:rPr>
      </w:pPr>
      <w:r w:rsidRPr="00680B65">
        <w:rPr>
          <w:b/>
        </w:rPr>
        <w:t xml:space="preserve">Formulas </w:t>
      </w:r>
      <w:r>
        <w:rPr>
          <w:b/>
        </w:rPr>
        <w:t>used</w:t>
      </w:r>
      <w:r w:rsidRPr="00680B65">
        <w:rPr>
          <w:b/>
        </w:rPr>
        <w:t xml:space="preserve"> </w:t>
      </w:r>
      <w:r>
        <w:rPr>
          <w:b/>
        </w:rPr>
        <w:t>in Ratio Analysis</w:t>
      </w:r>
      <w:r w:rsidRPr="00680B65">
        <w:rPr>
          <w:b/>
        </w:rPr>
        <w:t>:</w:t>
      </w:r>
    </w:p>
    <w:p w:rsidR="00712D32" w:rsidRDefault="00712D32" w:rsidP="00C073E1">
      <w:pPr>
        <w:rPr>
          <w:b/>
        </w:rPr>
      </w:pPr>
      <w:r w:rsidRPr="00712D32">
        <w:rPr>
          <w:b/>
        </w:rPr>
        <w:t>Figure</w:t>
      </w:r>
      <w:r>
        <w:rPr>
          <w:b/>
        </w:rPr>
        <w:t xml:space="preserve"> 2</w:t>
      </w:r>
    </w:p>
    <w:p w:rsidR="00C073E1" w:rsidRPr="00712D32" w:rsidRDefault="00C073E1" w:rsidP="00C073E1">
      <w:r>
        <w:t>2019</w:t>
      </w:r>
    </w:p>
    <w:p w:rsidR="00712D32" w:rsidRPr="00C073E1" w:rsidRDefault="002377E0" w:rsidP="00C073E1">
      <w:pPr>
        <w:rPr>
          <w:rFonts w:eastAsiaTheme="minorEastAsia"/>
        </w:rPr>
      </w:pPr>
      <m:oMath>
        <m:f>
          <m:fPr>
            <m:ctrlPr>
              <w:rPr>
                <w:rFonts w:ascii="Cambria Math" w:hAnsi="Cambria Math"/>
                <w:i/>
                <w:sz w:val="28"/>
              </w:rPr>
            </m:ctrlPr>
          </m:fPr>
          <m:num>
            <m:r>
              <w:rPr>
                <w:rFonts w:ascii="Cambria Math" w:hAnsi="Cambria Math"/>
                <w:sz w:val="28"/>
              </w:rPr>
              <m:t>Net Profit/Loss</m:t>
            </m:r>
          </m:num>
          <m:den>
            <m:r>
              <w:rPr>
                <w:rFonts w:ascii="Cambria Math" w:hAnsi="Cambria Math"/>
                <w:sz w:val="28"/>
              </w:rPr>
              <m:t>Capital Employed</m:t>
            </m:r>
          </m:den>
        </m:f>
        <m:r>
          <w:rPr>
            <w:rFonts w:ascii="Cambria Math" w:hAnsi="Cambria Math"/>
            <w:sz w:val="28"/>
          </w:rPr>
          <m:t xml:space="preserve"> ×100=Return on Capital</m:t>
        </m:r>
      </m:oMath>
      <w:r w:rsidR="009C5F42">
        <w:rPr>
          <w:rFonts w:eastAsiaTheme="minorEastAsia"/>
        </w:rPr>
        <w:tab/>
      </w:r>
      <m:oMath>
        <m:f>
          <m:fPr>
            <m:ctrlPr>
              <w:rPr>
                <w:rFonts w:ascii="Cambria Math" w:eastAsiaTheme="minorEastAsia" w:hAnsi="Cambria Math"/>
                <w:i/>
                <w:sz w:val="28"/>
                <w:szCs w:val="28"/>
              </w:rPr>
            </m:ctrlPr>
          </m:fPr>
          <m:num>
            <m:r>
              <w:rPr>
                <w:rFonts w:ascii="Cambria Math" w:eastAsiaTheme="minorEastAsia" w:hAnsi="Cambria Math"/>
                <w:sz w:val="28"/>
                <w:szCs w:val="28"/>
              </w:rPr>
              <m:t>$1,076,779</m:t>
            </m:r>
          </m:num>
          <m:den>
            <m:r>
              <w:rPr>
                <w:rFonts w:ascii="Cambria Math" w:eastAsiaTheme="minorEastAsia" w:hAnsi="Cambria Math"/>
                <w:sz w:val="28"/>
                <w:szCs w:val="28"/>
              </w:rPr>
              <m:t>$5,845,814</m:t>
            </m:r>
          </m:den>
        </m:f>
        <m:r>
          <w:rPr>
            <w:rFonts w:ascii="Cambria Math" w:eastAsiaTheme="minorEastAsia" w:hAnsi="Cambria Math"/>
            <w:sz w:val="28"/>
            <w:szCs w:val="28"/>
          </w:rPr>
          <m:t xml:space="preserve"> ×100=18%</m:t>
        </m:r>
      </m:oMath>
    </w:p>
    <w:p w:rsidR="00C073E1" w:rsidRDefault="00C073E1" w:rsidP="00C073E1">
      <w:pPr>
        <w:rPr>
          <w:rFonts w:eastAsiaTheme="minorEastAsia"/>
        </w:rPr>
      </w:pPr>
      <w:r>
        <w:rPr>
          <w:rFonts w:eastAsiaTheme="minorEastAsia"/>
        </w:rPr>
        <w:t>2020</w:t>
      </w:r>
    </w:p>
    <w:p w:rsidR="00C073E1" w:rsidRPr="00C073E1" w:rsidRDefault="002377E0" w:rsidP="00C073E1">
      <m:oMath>
        <m:f>
          <m:fPr>
            <m:ctrlPr>
              <w:rPr>
                <w:rFonts w:ascii="Cambria Math" w:hAnsi="Cambria Math"/>
                <w:i/>
                <w:sz w:val="28"/>
              </w:rPr>
            </m:ctrlPr>
          </m:fPr>
          <m:num>
            <m:r>
              <w:rPr>
                <w:rFonts w:ascii="Cambria Math" w:hAnsi="Cambria Math"/>
                <w:sz w:val="28"/>
              </w:rPr>
              <m:t xml:space="preserve">Net </m:t>
            </m:r>
            <m:r>
              <w:rPr>
                <w:rFonts w:ascii="Cambria Math" w:hAnsi="Cambria Math"/>
                <w:sz w:val="32"/>
              </w:rPr>
              <m:t>Profit</m:t>
            </m:r>
            <m:r>
              <w:rPr>
                <w:rFonts w:ascii="Cambria Math" w:hAnsi="Cambria Math"/>
                <w:sz w:val="28"/>
              </w:rPr>
              <m:t>/Loss</m:t>
            </m:r>
          </m:num>
          <m:den>
            <m:r>
              <w:rPr>
                <w:rFonts w:ascii="Cambria Math" w:hAnsi="Cambria Math"/>
                <w:sz w:val="28"/>
              </w:rPr>
              <m:t>Capital Employed</m:t>
            </m:r>
          </m:den>
        </m:f>
        <m:r>
          <w:rPr>
            <w:rFonts w:ascii="Cambria Math" w:hAnsi="Cambria Math"/>
            <w:sz w:val="28"/>
          </w:rPr>
          <m:t xml:space="preserve"> ×100=Return on Capital</m:t>
        </m:r>
      </m:oMath>
      <w:r w:rsidR="009C5F42">
        <w:rPr>
          <w:rFonts w:eastAsiaTheme="minorEastAsia"/>
        </w:rPr>
        <w:tab/>
      </w:r>
      <m:oMath>
        <m:f>
          <m:fPr>
            <m:ctrlPr>
              <w:rPr>
                <w:rFonts w:ascii="Cambria Math" w:eastAsiaTheme="minorEastAsia" w:hAnsi="Cambria Math"/>
                <w:i/>
                <w:sz w:val="28"/>
                <w:szCs w:val="28"/>
              </w:rPr>
            </m:ctrlPr>
          </m:fPr>
          <m:num>
            <m:r>
              <w:rPr>
                <w:rFonts w:ascii="Cambria Math" w:eastAsiaTheme="minorEastAsia" w:hAnsi="Cambria Math"/>
                <w:sz w:val="28"/>
                <w:szCs w:val="28"/>
              </w:rPr>
              <m:t>$981,677</m:t>
            </m:r>
          </m:num>
          <m:den>
            <m:r>
              <w:rPr>
                <w:rFonts w:ascii="Cambria Math" w:eastAsiaTheme="minorEastAsia" w:hAnsi="Cambria Math"/>
                <w:sz w:val="28"/>
                <w:szCs w:val="28"/>
              </w:rPr>
              <m:t>$6,751,065</m:t>
            </m:r>
          </m:den>
        </m:f>
        <m:r>
          <w:rPr>
            <w:rFonts w:ascii="Cambria Math" w:eastAsiaTheme="minorEastAsia" w:hAnsi="Cambria Math"/>
            <w:sz w:val="28"/>
            <w:szCs w:val="28"/>
          </w:rPr>
          <m:t xml:space="preserve"> ×100=15%</m:t>
        </m:r>
      </m:oMath>
    </w:p>
    <w:p w:rsidR="00941BAA" w:rsidRDefault="00941BAA" w:rsidP="00C073E1">
      <w:pPr>
        <w:rPr>
          <w:b/>
        </w:rPr>
      </w:pPr>
      <w:r>
        <w:rPr>
          <w:b/>
        </w:rPr>
        <w:lastRenderedPageBreak/>
        <w:t xml:space="preserve">Figure </w:t>
      </w:r>
      <w:r w:rsidR="00712D32">
        <w:rPr>
          <w:b/>
        </w:rPr>
        <w:t>3</w:t>
      </w:r>
    </w:p>
    <w:p w:rsidR="00941BAA" w:rsidRPr="00712D32" w:rsidRDefault="00941BAA" w:rsidP="00C073E1">
      <w:pPr>
        <w:rPr>
          <w:i/>
        </w:rPr>
      </w:pPr>
      <w:r w:rsidRPr="00712D32">
        <w:rPr>
          <w:i/>
        </w:rPr>
        <w:t>2019</w:t>
      </w:r>
    </w:p>
    <w:p w:rsidR="00941BAA" w:rsidRPr="00941BAA" w:rsidRDefault="002377E0" w:rsidP="00C073E1">
      <w:pPr>
        <w:jc w:val="left"/>
        <w:rPr>
          <w:rFonts w:ascii="Calibri" w:eastAsia="Calibri" w:hAnsi="Calibri" w:cs="Times New Roman"/>
          <w:sz w:val="28"/>
        </w:rPr>
      </w:pPr>
      <m:oMath>
        <m:f>
          <m:fPr>
            <m:ctrlPr>
              <w:rPr>
                <w:rFonts w:ascii="Cambria Math" w:eastAsia="Calibri" w:hAnsi="Cambria Math" w:cs="Times New Roman"/>
                <w:i/>
                <w:sz w:val="28"/>
              </w:rPr>
            </m:ctrlPr>
          </m:fPr>
          <m:num>
            <m:r>
              <w:rPr>
                <w:rFonts w:ascii="Cambria Math" w:eastAsia="Calibri" w:hAnsi="Cambria Math" w:cs="Times New Roman"/>
                <w:sz w:val="28"/>
              </w:rPr>
              <m:t xml:space="preserve">Net </m:t>
            </m:r>
            <m:r>
              <w:rPr>
                <w:rFonts w:ascii="Cambria Math" w:eastAsia="Calibri" w:hAnsi="Cambria Math" w:cs="Times New Roman"/>
                <w:sz w:val="32"/>
              </w:rPr>
              <m:t>Profit</m:t>
            </m:r>
            <m:r>
              <w:rPr>
                <w:rFonts w:ascii="Cambria Math" w:eastAsia="Calibri" w:hAnsi="Cambria Math" w:cs="Times New Roman"/>
                <w:sz w:val="28"/>
              </w:rPr>
              <m:t>/</m:t>
            </m:r>
            <m:r>
              <w:rPr>
                <w:rFonts w:ascii="Cambria Math" w:eastAsia="Calibri" w:hAnsi="Cambria Math" w:cs="Times New Roman"/>
                <w:sz w:val="32"/>
              </w:rPr>
              <m:t>Loss</m:t>
            </m:r>
          </m:num>
          <m:den>
            <m:r>
              <w:rPr>
                <w:rFonts w:ascii="Cambria Math" w:eastAsia="Calibri" w:hAnsi="Cambria Math" w:cs="Times New Roman"/>
                <w:sz w:val="28"/>
              </w:rPr>
              <m:t>Net Sales</m:t>
            </m:r>
          </m:den>
        </m:f>
        <m:r>
          <w:rPr>
            <w:rFonts w:ascii="Cambria Math" w:eastAsia="Calibri" w:hAnsi="Cambria Math" w:cs="Times New Roman"/>
            <w:sz w:val="28"/>
          </w:rPr>
          <m:t xml:space="preserve"> ×100=Net Profit Margin</m:t>
        </m:r>
      </m:oMath>
      <w:r w:rsidR="009C5F42">
        <w:rPr>
          <w:rFonts w:ascii="Calibri" w:eastAsia="Calibri" w:hAnsi="Calibri" w:cs="Times New Roman"/>
          <w:sz w:val="22"/>
        </w:rPr>
        <w:tab/>
      </w:r>
      <m:oMath>
        <m:f>
          <m:fPr>
            <m:ctrlPr>
              <w:rPr>
                <w:rFonts w:ascii="Cambria Math" w:eastAsia="Calibri" w:hAnsi="Cambria Math" w:cs="Times New Roman"/>
                <w:i/>
                <w:sz w:val="28"/>
              </w:rPr>
            </m:ctrlPr>
          </m:fPr>
          <m:num>
            <m:r>
              <w:rPr>
                <w:rFonts w:ascii="Cambria Math" w:eastAsia="Calibri" w:hAnsi="Cambria Math" w:cs="Times New Roman"/>
                <w:sz w:val="28"/>
              </w:rPr>
              <m:t>$1,076,779</m:t>
            </m:r>
          </m:num>
          <m:den>
            <m:r>
              <w:rPr>
                <w:rFonts w:ascii="Cambria Math" w:eastAsia="Calibri" w:hAnsi="Cambria Math" w:cs="Times New Roman"/>
                <w:sz w:val="28"/>
              </w:rPr>
              <m:t>$7,565,672</m:t>
            </m:r>
          </m:den>
        </m:f>
        <m:r>
          <w:rPr>
            <w:rFonts w:ascii="Cambria Math" w:eastAsia="Calibri" w:hAnsi="Cambria Math" w:cs="Times New Roman"/>
            <w:sz w:val="28"/>
          </w:rPr>
          <m:t xml:space="preserve"> ×100=14%</m:t>
        </m:r>
      </m:oMath>
    </w:p>
    <w:p w:rsidR="00941BAA" w:rsidRPr="00712D32" w:rsidRDefault="00941BAA" w:rsidP="00C073E1">
      <w:pPr>
        <w:rPr>
          <w:i/>
        </w:rPr>
      </w:pPr>
      <w:r w:rsidRPr="00712D32">
        <w:rPr>
          <w:i/>
        </w:rPr>
        <w:t>2020</w:t>
      </w:r>
    </w:p>
    <w:p w:rsidR="00941BAA" w:rsidRDefault="002377E0" w:rsidP="00C073E1">
      <w:pPr>
        <w:jc w:val="left"/>
        <w:rPr>
          <w:rFonts w:ascii="Calibri" w:eastAsia="Calibri" w:hAnsi="Calibri" w:cs="Times New Roman"/>
          <w:sz w:val="28"/>
        </w:rPr>
      </w:pPr>
      <m:oMath>
        <m:f>
          <m:fPr>
            <m:ctrlPr>
              <w:rPr>
                <w:rFonts w:ascii="Cambria Math" w:eastAsia="Calibri" w:hAnsi="Cambria Math" w:cs="Times New Roman"/>
                <w:i/>
                <w:sz w:val="28"/>
              </w:rPr>
            </m:ctrlPr>
          </m:fPr>
          <m:num>
            <m:r>
              <w:rPr>
                <w:rFonts w:ascii="Cambria Math" w:eastAsia="Calibri" w:hAnsi="Cambria Math" w:cs="Times New Roman"/>
                <w:sz w:val="28"/>
              </w:rPr>
              <m:t xml:space="preserve">Net </m:t>
            </m:r>
            <m:r>
              <w:rPr>
                <w:rFonts w:ascii="Cambria Math" w:eastAsia="Calibri" w:hAnsi="Cambria Math" w:cs="Times New Roman"/>
                <w:sz w:val="32"/>
              </w:rPr>
              <m:t>Profit</m:t>
            </m:r>
            <m:r>
              <w:rPr>
                <w:rFonts w:ascii="Cambria Math" w:eastAsia="Calibri" w:hAnsi="Cambria Math" w:cs="Times New Roman"/>
                <w:sz w:val="28"/>
              </w:rPr>
              <m:t>/</m:t>
            </m:r>
            <m:r>
              <w:rPr>
                <w:rFonts w:ascii="Cambria Math" w:eastAsia="Calibri" w:hAnsi="Cambria Math" w:cs="Times New Roman"/>
                <w:sz w:val="32"/>
              </w:rPr>
              <m:t>Loss</m:t>
            </m:r>
          </m:num>
          <m:den>
            <m:r>
              <w:rPr>
                <w:rFonts w:ascii="Cambria Math" w:eastAsia="Calibri" w:hAnsi="Cambria Math" w:cs="Times New Roman"/>
                <w:sz w:val="28"/>
              </w:rPr>
              <m:t>Net Sales</m:t>
            </m:r>
          </m:den>
        </m:f>
        <m:r>
          <w:rPr>
            <w:rFonts w:ascii="Cambria Math" w:eastAsia="Calibri" w:hAnsi="Cambria Math" w:cs="Times New Roman"/>
            <w:sz w:val="28"/>
          </w:rPr>
          <m:t xml:space="preserve"> ×100=Net Profit Margin</m:t>
        </m:r>
      </m:oMath>
      <w:r w:rsidR="009C5F42">
        <w:rPr>
          <w:rFonts w:ascii="Calibri" w:eastAsia="Calibri" w:hAnsi="Calibri" w:cs="Times New Roman"/>
          <w:sz w:val="22"/>
        </w:rPr>
        <w:tab/>
      </w:r>
      <m:oMath>
        <m:f>
          <m:fPr>
            <m:ctrlPr>
              <w:rPr>
                <w:rFonts w:ascii="Cambria Math" w:eastAsia="Calibri" w:hAnsi="Cambria Math" w:cs="Times New Roman"/>
                <w:i/>
                <w:sz w:val="28"/>
              </w:rPr>
            </m:ctrlPr>
          </m:fPr>
          <m:num>
            <m:r>
              <w:rPr>
                <w:rFonts w:ascii="Cambria Math" w:eastAsia="Calibri" w:hAnsi="Cambria Math" w:cs="Times New Roman"/>
                <w:sz w:val="28"/>
              </w:rPr>
              <m:t>$981,677</m:t>
            </m:r>
          </m:num>
          <m:den>
            <m:r>
              <w:rPr>
                <w:rFonts w:ascii="Cambria Math" w:eastAsia="Calibri" w:hAnsi="Cambria Math" w:cs="Times New Roman"/>
                <w:sz w:val="28"/>
              </w:rPr>
              <m:t>$7,886,142</m:t>
            </m:r>
          </m:den>
        </m:f>
        <m:r>
          <w:rPr>
            <w:rFonts w:ascii="Cambria Math" w:eastAsia="Calibri" w:hAnsi="Cambria Math" w:cs="Times New Roman"/>
            <w:sz w:val="28"/>
          </w:rPr>
          <m:t xml:space="preserve"> ×100=12%</m:t>
        </m:r>
      </m:oMath>
    </w:p>
    <w:p w:rsidR="00C073E1" w:rsidRDefault="00C073E1" w:rsidP="00C073E1">
      <w:pPr>
        <w:rPr>
          <w:b/>
        </w:rPr>
      </w:pPr>
      <w:r w:rsidRPr="00C073E1">
        <w:rPr>
          <w:b/>
        </w:rPr>
        <w:t>Figure</w:t>
      </w:r>
      <w:r>
        <w:rPr>
          <w:b/>
        </w:rPr>
        <w:t xml:space="preserve"> 4</w:t>
      </w:r>
    </w:p>
    <w:p w:rsidR="00630B36" w:rsidRPr="00630B36" w:rsidRDefault="00630B36" w:rsidP="00630B36">
      <w:pPr>
        <w:rPr>
          <w:i/>
        </w:rPr>
      </w:pPr>
      <w:r w:rsidRPr="00630B36">
        <w:rPr>
          <w:i/>
        </w:rPr>
        <w:t>2019</w:t>
      </w:r>
    </w:p>
    <w:p w:rsidR="00C47E5D" w:rsidRPr="00630B36" w:rsidRDefault="002377E0" w:rsidP="00C47E5D">
      <w:pPr>
        <w:spacing w:line="276" w:lineRule="auto"/>
        <w:jc w:val="left"/>
        <w:rPr>
          <w:rFonts w:ascii="Calibri" w:eastAsia="Times New Roman" w:hAnsi="Calibri" w:cs="Times New Roman"/>
          <w:sz w:val="22"/>
        </w:rPr>
      </w:pPr>
      <m:oMath>
        <m:f>
          <m:fPr>
            <m:ctrlPr>
              <w:rPr>
                <w:rFonts w:ascii="Cambria Math" w:eastAsia="Calibri" w:hAnsi="Cambria Math" w:cs="Times New Roman"/>
                <w:i/>
                <w:sz w:val="28"/>
              </w:rPr>
            </m:ctrlPr>
          </m:fPr>
          <m:num>
            <m:r>
              <w:rPr>
                <w:rFonts w:ascii="Cambria Math" w:eastAsia="Calibri" w:hAnsi="Cambria Math" w:cs="Times New Roman"/>
                <w:sz w:val="28"/>
              </w:rPr>
              <m:t>Total Current Asset</m:t>
            </m:r>
          </m:num>
          <m:den>
            <m:r>
              <w:rPr>
                <w:rFonts w:ascii="Cambria Math" w:eastAsia="Calibri" w:hAnsi="Cambria Math" w:cs="Times New Roman"/>
                <w:sz w:val="28"/>
              </w:rPr>
              <m:t>Closing Stock</m:t>
            </m:r>
          </m:den>
        </m:f>
        <m:r>
          <w:rPr>
            <w:rFonts w:ascii="Cambria Math" w:eastAsia="Calibri" w:hAnsi="Cambria Math" w:cs="Times New Roman"/>
            <w:sz w:val="28"/>
          </w:rPr>
          <m:t>=Inventory Turnover</m:t>
        </m:r>
      </m:oMath>
      <w:r w:rsidR="009C5F42">
        <w:rPr>
          <w:rFonts w:ascii="Calibri" w:eastAsia="Times New Roman" w:hAnsi="Calibri" w:cs="Times New Roman"/>
          <w:sz w:val="22"/>
        </w:rPr>
        <w:tab/>
      </w:r>
      <w:r w:rsidR="009C5F42">
        <w:rPr>
          <w:rFonts w:ascii="Calibri" w:eastAsia="Times New Roman" w:hAnsi="Calibri" w:cs="Times New Roman"/>
          <w:sz w:val="22"/>
        </w:rPr>
        <w:tab/>
      </w:r>
      <m:oMath>
        <m:f>
          <m:fPr>
            <m:ctrlPr>
              <w:rPr>
                <w:rFonts w:ascii="Cambria Math" w:eastAsia="Times New Roman" w:hAnsi="Cambria Math" w:cs="Times New Roman"/>
                <w:i/>
                <w:sz w:val="28"/>
              </w:rPr>
            </m:ctrlPr>
          </m:fPr>
          <m:num>
            <m:r>
              <w:rPr>
                <w:rFonts w:ascii="Cambria Math" w:eastAsia="Times New Roman" w:hAnsi="Cambria Math" w:cs="Times New Roman"/>
                <w:sz w:val="28"/>
              </w:rPr>
              <m:t>$3,715,582</m:t>
            </m:r>
          </m:num>
          <m:den>
            <m:r>
              <w:rPr>
                <w:rFonts w:ascii="Cambria Math" w:eastAsia="Times New Roman" w:hAnsi="Cambria Math" w:cs="Times New Roman"/>
                <w:sz w:val="28"/>
              </w:rPr>
              <m:t>$899,894</m:t>
            </m:r>
          </m:den>
        </m:f>
        <m:r>
          <w:rPr>
            <w:rFonts w:ascii="Cambria Math" w:eastAsia="Times New Roman" w:hAnsi="Cambria Math" w:cs="Times New Roman"/>
            <w:sz w:val="28"/>
          </w:rPr>
          <m:t>=4.13</m:t>
        </m:r>
      </m:oMath>
      <w:r w:rsidR="00281111">
        <w:rPr>
          <w:rFonts w:ascii="Calibri" w:eastAsia="Times New Roman" w:hAnsi="Calibri" w:cs="Times New Roman"/>
          <w:sz w:val="28"/>
        </w:rPr>
        <w:t xml:space="preserve"> </w:t>
      </w:r>
      <w:proofErr w:type="gramStart"/>
      <w:r w:rsidR="00281111" w:rsidRPr="00281111">
        <w:rPr>
          <w:rFonts w:ascii="Cambria Math" w:eastAsia="Times New Roman" w:hAnsi="Cambria Math" w:cs="Times New Roman"/>
          <w:sz w:val="28"/>
        </w:rPr>
        <w:t>ti</w:t>
      </w:r>
      <w:bookmarkStart w:id="72" w:name="_GoBack"/>
      <w:bookmarkEnd w:id="72"/>
      <w:r w:rsidR="00281111" w:rsidRPr="00281111">
        <w:rPr>
          <w:rFonts w:ascii="Cambria Math" w:eastAsia="Times New Roman" w:hAnsi="Cambria Math" w:cs="Times New Roman"/>
          <w:sz w:val="28"/>
        </w:rPr>
        <w:t>mes</w:t>
      </w:r>
      <w:proofErr w:type="gramEnd"/>
    </w:p>
    <w:p w:rsidR="00630B36" w:rsidRPr="00630B36" w:rsidRDefault="00630B36" w:rsidP="00630B36">
      <w:pPr>
        <w:rPr>
          <w:i/>
        </w:rPr>
      </w:pPr>
      <w:r w:rsidRPr="00630B36">
        <w:rPr>
          <w:i/>
        </w:rPr>
        <w:t>2020</w:t>
      </w:r>
    </w:p>
    <w:p w:rsidR="00C47E5D" w:rsidRDefault="002377E0" w:rsidP="00C47E5D">
      <w:pPr>
        <w:spacing w:line="276" w:lineRule="auto"/>
        <w:jc w:val="left"/>
        <w:rPr>
          <w:rFonts w:ascii="Calibri" w:eastAsia="Times New Roman" w:hAnsi="Calibri" w:cs="Times New Roman"/>
          <w:sz w:val="28"/>
        </w:rPr>
      </w:pPr>
      <m:oMath>
        <m:f>
          <m:fPr>
            <m:ctrlPr>
              <w:rPr>
                <w:rFonts w:ascii="Cambria Math" w:eastAsia="Calibri" w:hAnsi="Cambria Math" w:cs="Times New Roman"/>
                <w:i/>
                <w:sz w:val="28"/>
              </w:rPr>
            </m:ctrlPr>
          </m:fPr>
          <m:num>
            <m:r>
              <w:rPr>
                <w:rFonts w:ascii="Cambria Math" w:eastAsia="Calibri" w:hAnsi="Cambria Math" w:cs="Times New Roman"/>
                <w:sz w:val="28"/>
              </w:rPr>
              <m:t>Total Current Asset</m:t>
            </m:r>
          </m:num>
          <m:den>
            <m:r>
              <w:rPr>
                <w:rFonts w:ascii="Cambria Math" w:eastAsia="Calibri" w:hAnsi="Cambria Math" w:cs="Times New Roman"/>
                <w:sz w:val="28"/>
              </w:rPr>
              <m:t>Closing Stock</m:t>
            </m:r>
          </m:den>
        </m:f>
        <m:r>
          <w:rPr>
            <w:rFonts w:ascii="Cambria Math" w:eastAsia="Calibri" w:hAnsi="Cambria Math" w:cs="Times New Roman"/>
            <w:sz w:val="28"/>
          </w:rPr>
          <m:t>=Inventory Turnover</m:t>
        </m:r>
      </m:oMath>
      <w:r w:rsidR="00281111">
        <w:rPr>
          <w:rFonts w:ascii="Calibri" w:eastAsia="Times New Roman" w:hAnsi="Calibri" w:cs="Times New Roman"/>
          <w:sz w:val="22"/>
        </w:rPr>
        <w:tab/>
      </w:r>
      <w:r w:rsidR="00281111">
        <w:rPr>
          <w:rFonts w:ascii="Calibri" w:eastAsia="Times New Roman" w:hAnsi="Calibri" w:cs="Times New Roman"/>
          <w:sz w:val="22"/>
        </w:rPr>
        <w:tab/>
      </w:r>
      <m:oMath>
        <m:f>
          <m:fPr>
            <m:ctrlPr>
              <w:rPr>
                <w:rFonts w:ascii="Cambria Math" w:eastAsia="Times New Roman" w:hAnsi="Cambria Math" w:cs="Times New Roman"/>
                <w:i/>
                <w:sz w:val="28"/>
              </w:rPr>
            </m:ctrlPr>
          </m:fPr>
          <m:num>
            <m:r>
              <w:rPr>
                <w:rFonts w:ascii="Cambria Math" w:eastAsia="Times New Roman" w:hAnsi="Cambria Math" w:cs="Times New Roman"/>
                <w:sz w:val="28"/>
              </w:rPr>
              <m:t>$4,596,390</m:t>
            </m:r>
          </m:num>
          <m:den>
            <m:r>
              <w:rPr>
                <w:rFonts w:ascii="Cambria Math" w:eastAsia="Times New Roman" w:hAnsi="Cambria Math" w:cs="Times New Roman"/>
                <w:sz w:val="28"/>
              </w:rPr>
              <m:t>$1,082,440</m:t>
            </m:r>
          </m:den>
        </m:f>
        <m:r>
          <w:rPr>
            <w:rFonts w:ascii="Cambria Math" w:eastAsia="Times New Roman" w:hAnsi="Cambria Math" w:cs="Times New Roman"/>
            <w:sz w:val="28"/>
          </w:rPr>
          <m:t>=4.25</m:t>
        </m:r>
        <m:r>
          <m:rPr>
            <m:sty m:val="p"/>
          </m:rPr>
          <w:rPr>
            <w:rFonts w:ascii="Cambria Math" w:eastAsia="Times New Roman" w:hAnsi="Cambria Math" w:cs="Times New Roman"/>
            <w:sz w:val="28"/>
          </w:rPr>
          <m:t xml:space="preserve"> times</m:t>
        </m:r>
      </m:oMath>
    </w:p>
    <w:p w:rsidR="00A9628F" w:rsidRDefault="00A9628F" w:rsidP="00A9628F">
      <w:pPr>
        <w:rPr>
          <w:b/>
        </w:rPr>
      </w:pPr>
      <w:r w:rsidRPr="00A9628F">
        <w:rPr>
          <w:b/>
        </w:rPr>
        <w:t>Figure 5</w:t>
      </w:r>
    </w:p>
    <w:p w:rsidR="00A9628F" w:rsidRPr="00A9628F" w:rsidRDefault="00A9628F" w:rsidP="00A9628F">
      <w:pPr>
        <w:rPr>
          <w:i/>
          <w:sz w:val="22"/>
        </w:rPr>
      </w:pPr>
      <w:r w:rsidRPr="00A9628F">
        <w:rPr>
          <w:i/>
        </w:rPr>
        <w:t>2019</w:t>
      </w:r>
    </w:p>
    <w:p w:rsidR="00C47E5D" w:rsidRPr="00A9628F" w:rsidRDefault="002377E0" w:rsidP="00C47E5D">
      <w:pPr>
        <w:spacing w:line="276" w:lineRule="auto"/>
        <w:jc w:val="left"/>
        <w:rPr>
          <w:rFonts w:ascii="Calibri" w:eastAsia="Calibri" w:hAnsi="Calibri" w:cs="Times New Roman"/>
          <w:sz w:val="22"/>
        </w:rPr>
      </w:pPr>
      <m:oMath>
        <m:f>
          <m:fPr>
            <m:ctrlPr>
              <w:rPr>
                <w:rFonts w:ascii="Cambria Math" w:eastAsia="Calibri" w:hAnsi="Cambria Math" w:cs="Times New Roman"/>
                <w:i/>
                <w:sz w:val="28"/>
                <w:szCs w:val="28"/>
              </w:rPr>
            </m:ctrlPr>
          </m:fPr>
          <m:num>
            <m:r>
              <w:rPr>
                <w:rFonts w:ascii="Cambria Math" w:eastAsia="Calibri" w:hAnsi="Cambria Math" w:cs="Times New Roman"/>
                <w:sz w:val="28"/>
                <w:szCs w:val="28"/>
              </w:rPr>
              <m:t>Current Assets-Closing Stock</m:t>
            </m:r>
          </m:num>
          <m:den>
            <m:r>
              <w:rPr>
                <w:rFonts w:ascii="Cambria Math" w:eastAsia="Calibri" w:hAnsi="Cambria Math" w:cs="Times New Roman"/>
                <w:sz w:val="28"/>
                <w:szCs w:val="28"/>
              </w:rPr>
              <m:t>Current Liabilities</m:t>
            </m:r>
          </m:den>
        </m:f>
        <m:r>
          <w:rPr>
            <w:rFonts w:ascii="Cambria Math" w:eastAsia="Calibri" w:hAnsi="Cambria Math" w:cs="Times New Roman"/>
            <w:sz w:val="28"/>
            <w:szCs w:val="28"/>
          </w:rPr>
          <m:t>=Acid Test Ratio</m:t>
        </m:r>
      </m:oMath>
      <w:r w:rsidR="00A9628F">
        <w:rPr>
          <w:rFonts w:ascii="Calibri" w:eastAsia="Calibri" w:hAnsi="Calibri" w:cs="Times New Roman"/>
          <w:sz w:val="22"/>
        </w:rPr>
        <w:tab/>
      </w:r>
      <m:oMath>
        <m:f>
          <m:fPr>
            <m:ctrlPr>
              <w:rPr>
                <w:rFonts w:ascii="Cambria Math" w:eastAsia="Calibri" w:hAnsi="Cambria Math" w:cs="Times New Roman"/>
                <w:i/>
                <w:sz w:val="28"/>
                <w:szCs w:val="28"/>
              </w:rPr>
            </m:ctrlPr>
          </m:fPr>
          <m:num>
            <m:r>
              <w:rPr>
                <w:rFonts w:ascii="Cambria Math" w:eastAsia="Calibri" w:hAnsi="Cambria Math" w:cs="Times New Roman"/>
                <w:sz w:val="28"/>
                <w:szCs w:val="28"/>
              </w:rPr>
              <m:t>$3,715,582-$899,894</m:t>
            </m:r>
          </m:num>
          <m:den>
            <m:r>
              <w:rPr>
                <w:rFonts w:ascii="Cambria Math" w:eastAsia="Calibri" w:hAnsi="Cambria Math" w:cs="Times New Roman"/>
                <w:sz w:val="28"/>
                <w:szCs w:val="28"/>
              </w:rPr>
              <m:t>$1,460,897</m:t>
            </m:r>
          </m:den>
        </m:f>
        <m:r>
          <w:rPr>
            <w:rFonts w:ascii="Cambria Math" w:eastAsia="Calibri" w:hAnsi="Cambria Math" w:cs="Times New Roman"/>
            <w:sz w:val="28"/>
            <w:szCs w:val="28"/>
          </w:rPr>
          <m:t>=1.927</m:t>
        </m:r>
      </m:oMath>
    </w:p>
    <w:p w:rsidR="00A9628F" w:rsidRPr="00A9628F" w:rsidRDefault="00A9628F" w:rsidP="00A9628F">
      <w:pPr>
        <w:rPr>
          <w:i/>
        </w:rPr>
      </w:pPr>
      <w:r w:rsidRPr="00A9628F">
        <w:rPr>
          <w:i/>
        </w:rPr>
        <w:t>2020</w:t>
      </w:r>
    </w:p>
    <w:p w:rsidR="00A9628F" w:rsidRPr="00C073E1" w:rsidRDefault="002377E0" w:rsidP="00A9628F">
      <m:oMath>
        <m:f>
          <m:fPr>
            <m:ctrlPr>
              <w:rPr>
                <w:rFonts w:ascii="Cambria Math" w:eastAsia="Calibri" w:hAnsi="Cambria Math" w:cs="Times New Roman"/>
                <w:i/>
                <w:sz w:val="28"/>
                <w:szCs w:val="28"/>
              </w:rPr>
            </m:ctrlPr>
          </m:fPr>
          <m:num>
            <m:r>
              <w:rPr>
                <w:rFonts w:ascii="Cambria Math" w:eastAsia="Calibri" w:hAnsi="Cambria Math" w:cs="Times New Roman"/>
                <w:sz w:val="28"/>
                <w:szCs w:val="28"/>
              </w:rPr>
              <m:t>Current Assets-Closing Stock</m:t>
            </m:r>
          </m:num>
          <m:den>
            <m:r>
              <w:rPr>
                <w:rFonts w:ascii="Cambria Math" w:eastAsia="Calibri" w:hAnsi="Cambria Math" w:cs="Times New Roman"/>
                <w:sz w:val="28"/>
                <w:szCs w:val="28"/>
              </w:rPr>
              <m:t>Current Liabilities</m:t>
            </m:r>
          </m:den>
        </m:f>
        <m:r>
          <w:rPr>
            <w:rFonts w:ascii="Cambria Math" w:eastAsia="Calibri" w:hAnsi="Cambria Math" w:cs="Times New Roman"/>
            <w:sz w:val="28"/>
            <w:szCs w:val="28"/>
          </w:rPr>
          <m:t>=Acid Test Ratio</m:t>
        </m:r>
      </m:oMath>
      <w:r w:rsidR="00A9628F">
        <w:rPr>
          <w:rFonts w:eastAsiaTheme="minorEastAsia"/>
          <w:sz w:val="22"/>
        </w:rPr>
        <w:tab/>
      </w:r>
      <m:oMath>
        <m:f>
          <m:fPr>
            <m:ctrlPr>
              <w:rPr>
                <w:rFonts w:ascii="Cambria Math" w:eastAsiaTheme="minorEastAsia" w:hAnsi="Cambria Math"/>
                <w:i/>
                <w:sz w:val="28"/>
                <w:szCs w:val="28"/>
              </w:rPr>
            </m:ctrlPr>
          </m:fPr>
          <m:num>
            <m:r>
              <w:rPr>
                <w:rFonts w:ascii="Cambria Math" w:eastAsiaTheme="minorEastAsia" w:hAnsi="Cambria Math"/>
                <w:sz w:val="28"/>
                <w:szCs w:val="28"/>
              </w:rPr>
              <m:t>$4,596,390-$1,082,440</m:t>
            </m:r>
          </m:num>
          <m:den>
            <m:r>
              <w:rPr>
                <w:rFonts w:ascii="Cambria Math" w:eastAsiaTheme="minorEastAsia" w:hAnsi="Cambria Math"/>
                <w:sz w:val="28"/>
                <w:szCs w:val="28"/>
              </w:rPr>
              <m:t>$1,787,045</m:t>
            </m:r>
          </m:den>
        </m:f>
        <m:r>
          <w:rPr>
            <w:rFonts w:ascii="Cambria Math" w:eastAsiaTheme="minorEastAsia" w:hAnsi="Cambria Math"/>
            <w:sz w:val="28"/>
            <w:szCs w:val="28"/>
          </w:rPr>
          <m:t>=1.966</m:t>
        </m:r>
      </m:oMath>
    </w:p>
    <w:p w:rsidR="00C073E1" w:rsidRPr="00A9628F" w:rsidRDefault="00A9628F" w:rsidP="00C47E5D">
      <w:pPr>
        <w:spacing w:line="276" w:lineRule="auto"/>
        <w:jc w:val="left"/>
        <w:rPr>
          <w:rFonts w:ascii="Calibri" w:eastAsia="Calibri" w:hAnsi="Calibri" w:cs="Times New Roman"/>
          <w:sz w:val="22"/>
        </w:rPr>
      </w:pPr>
      <w:r>
        <w:rPr>
          <w:rFonts w:ascii="Calibri" w:eastAsia="Calibri" w:hAnsi="Calibri" w:cs="Times New Roman"/>
          <w:sz w:val="22"/>
        </w:rPr>
        <w:br w:type="page"/>
      </w:r>
    </w:p>
    <w:bookmarkEnd w:id="69"/>
    <w:bookmarkEnd w:id="70"/>
    <w:bookmarkEnd w:id="71"/>
    <w:p w:rsidR="00A518DF" w:rsidRDefault="00A518DF" w:rsidP="00A518DF">
      <w:pPr>
        <w:pStyle w:val="Heading1"/>
      </w:pPr>
      <w:r>
        <w:lastRenderedPageBreak/>
        <w:t>Bibliography</w:t>
      </w:r>
    </w:p>
    <w:p w:rsidR="00A518DF" w:rsidRDefault="00A518DF">
      <w:pPr>
        <w:spacing w:line="276" w:lineRule="auto"/>
        <w:jc w:val="left"/>
      </w:pPr>
      <w:r>
        <w:t xml:space="preserve">Adam Hayes. (2022). Acid Test Ratio. </w:t>
      </w:r>
    </w:p>
    <w:p w:rsidR="007B546E" w:rsidRDefault="002377E0" w:rsidP="00A518DF">
      <w:pPr>
        <w:spacing w:line="276" w:lineRule="auto"/>
        <w:ind w:firstLine="720"/>
        <w:jc w:val="left"/>
        <w:rPr>
          <w:rStyle w:val="Hyperlink"/>
          <w:color w:val="000000" w:themeColor="text1"/>
          <w:u w:val="none"/>
        </w:rPr>
      </w:pPr>
      <w:hyperlink r:id="rId17" w:history="1">
        <w:r w:rsidR="00A518DF" w:rsidRPr="00367C8E">
          <w:rPr>
            <w:rStyle w:val="Hyperlink"/>
            <w:color w:val="000000" w:themeColor="text1"/>
            <w:u w:val="none"/>
          </w:rPr>
          <w:t>https://www.investopedia.com/terms/a/acidtest.asp</w:t>
        </w:r>
      </w:hyperlink>
    </w:p>
    <w:p w:rsidR="00A518DF" w:rsidRDefault="00A518DF" w:rsidP="00A518DF">
      <w:pPr>
        <w:spacing w:line="276" w:lineRule="auto"/>
        <w:jc w:val="left"/>
      </w:pPr>
      <w:r>
        <w:t>Andrew Bloomenthal. (2021). Ratio Analysis.</w:t>
      </w:r>
    </w:p>
    <w:p w:rsidR="00A518DF" w:rsidRDefault="002377E0" w:rsidP="00A518DF">
      <w:pPr>
        <w:spacing w:line="276" w:lineRule="auto"/>
        <w:ind w:firstLine="720"/>
        <w:jc w:val="left"/>
        <w:rPr>
          <w:rStyle w:val="Hyperlink"/>
          <w:color w:val="000000" w:themeColor="text1"/>
          <w:u w:val="none"/>
        </w:rPr>
      </w:pPr>
      <w:hyperlink r:id="rId18" w:history="1">
        <w:r w:rsidR="00A518DF" w:rsidRPr="00904217">
          <w:rPr>
            <w:rStyle w:val="Hyperlink"/>
            <w:color w:val="000000" w:themeColor="text1"/>
            <w:u w:val="none"/>
          </w:rPr>
          <w:t>https://www.investopedia.com/terms/r/ratioanalysis.asp</w:t>
        </w:r>
      </w:hyperlink>
    </w:p>
    <w:p w:rsidR="00A518DF" w:rsidRDefault="00A518DF" w:rsidP="00A518DF">
      <w:pPr>
        <w:jc w:val="left"/>
      </w:pPr>
      <w:r>
        <w:t xml:space="preserve">LASCO Manufacturing Limited. (2020). Lasco Manufacturing Limited Annual Report 2020. </w:t>
      </w:r>
    </w:p>
    <w:p w:rsidR="00A518DF" w:rsidRPr="00FF7B8D" w:rsidRDefault="002377E0" w:rsidP="00A518DF">
      <w:pPr>
        <w:ind w:firstLine="720"/>
        <w:jc w:val="left"/>
        <w:rPr>
          <w:color w:val="000000" w:themeColor="text1"/>
        </w:rPr>
      </w:pPr>
      <w:hyperlink r:id="rId19" w:history="1">
        <w:r w:rsidR="00A518DF" w:rsidRPr="00FF7B8D">
          <w:rPr>
            <w:rStyle w:val="Hyperlink"/>
            <w:color w:val="000000" w:themeColor="text1"/>
            <w:u w:val="none"/>
          </w:rPr>
          <w:t>https://www.jamstockex.com/lasco-manufacturing-limited-lasm-annual-report-2020/</w:t>
        </w:r>
      </w:hyperlink>
      <w:r w:rsidR="00A518DF" w:rsidRPr="00FF7B8D">
        <w:rPr>
          <w:color w:val="000000" w:themeColor="text1"/>
        </w:rPr>
        <w:t xml:space="preserve"> </w:t>
      </w:r>
    </w:p>
    <w:p w:rsidR="00A518DF" w:rsidRDefault="00A518DF" w:rsidP="00A518DF">
      <w:pPr>
        <w:spacing w:line="276" w:lineRule="auto"/>
        <w:jc w:val="left"/>
      </w:pPr>
      <w:r>
        <w:t xml:space="preserve">LASCO Manufacturing Limited. (2021). Lasco Manufacturing Limited Annual Report 2021. </w:t>
      </w:r>
    </w:p>
    <w:p w:rsidR="00A518DF" w:rsidRDefault="002377E0" w:rsidP="00A518DF">
      <w:pPr>
        <w:spacing w:line="276" w:lineRule="auto"/>
        <w:ind w:firstLine="720"/>
        <w:jc w:val="left"/>
        <w:rPr>
          <w:rStyle w:val="Hyperlink"/>
          <w:color w:val="000000" w:themeColor="text1"/>
          <w:u w:val="none"/>
        </w:rPr>
      </w:pPr>
      <w:hyperlink r:id="rId20" w:history="1">
        <w:r w:rsidR="00A518DF" w:rsidRPr="00904217">
          <w:rPr>
            <w:rStyle w:val="Hyperlink"/>
            <w:color w:val="000000" w:themeColor="text1"/>
            <w:u w:val="none"/>
          </w:rPr>
          <w:t>https://jamstockex.com/lasco-manufacturing-limited-lasm-annual-report-2021/</w:t>
        </w:r>
      </w:hyperlink>
    </w:p>
    <w:p w:rsidR="00A518DF" w:rsidRDefault="00A518DF" w:rsidP="00A518DF">
      <w:pPr>
        <w:jc w:val="left"/>
      </w:pPr>
      <w:r>
        <w:t>Lumen Learning. (2021). Overview of the Ratio Analysis.</w:t>
      </w:r>
    </w:p>
    <w:p w:rsidR="00A518DF" w:rsidRPr="00A518DF" w:rsidRDefault="002377E0" w:rsidP="00A518DF">
      <w:pPr>
        <w:ind w:firstLine="720"/>
        <w:jc w:val="left"/>
        <w:rPr>
          <w:color w:val="000000" w:themeColor="text1"/>
        </w:rPr>
      </w:pPr>
      <w:hyperlink r:id="rId21" w:history="1">
        <w:r w:rsidR="00A518DF" w:rsidRPr="00904217">
          <w:rPr>
            <w:rStyle w:val="Hyperlink"/>
            <w:color w:val="000000" w:themeColor="text1"/>
            <w:u w:val="none"/>
          </w:rPr>
          <w:t>https://courses.lumenlearning.com/boundless-finance/chapter/overview-of-ratio-analysis</w:t>
        </w:r>
      </w:hyperlink>
    </w:p>
    <w:sectPr w:rsidR="00A518DF" w:rsidRPr="00A518DF" w:rsidSect="00C47E5D">
      <w:footerReference w:type="default" r:id="rId22"/>
      <w:pgSz w:w="12240" w:h="15840"/>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7E0" w:rsidRDefault="002377E0" w:rsidP="00314344">
      <w:pPr>
        <w:spacing w:after="0" w:line="240" w:lineRule="auto"/>
      </w:pPr>
      <w:r>
        <w:separator/>
      </w:r>
    </w:p>
  </w:endnote>
  <w:endnote w:type="continuationSeparator" w:id="0">
    <w:p w:rsidR="002377E0" w:rsidRDefault="002377E0" w:rsidP="00314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1674678513"/>
      <w:docPartObj>
        <w:docPartGallery w:val="Page Numbers (Bottom of Page)"/>
        <w:docPartUnique/>
      </w:docPartObj>
    </w:sdtPr>
    <w:sdtEndPr>
      <w:rPr>
        <w:color w:val="808080" w:themeColor="background1" w:themeShade="80"/>
        <w:spacing w:val="60"/>
      </w:rPr>
    </w:sdtEndPr>
    <w:sdtContent>
      <w:p w:rsidR="00281111" w:rsidRPr="00C47E5D" w:rsidRDefault="00281111">
        <w:pPr>
          <w:pStyle w:val="Footer"/>
          <w:pBdr>
            <w:top w:val="single" w:sz="4" w:space="1" w:color="D9D9D9" w:themeColor="background1" w:themeShade="D9"/>
          </w:pBdr>
          <w:jc w:val="right"/>
          <w:rPr>
            <w:rFonts w:cs="Times New Roman"/>
          </w:rPr>
        </w:pPr>
        <w:r w:rsidRPr="00C47E5D">
          <w:rPr>
            <w:rFonts w:cs="Times New Roman"/>
          </w:rPr>
          <w:fldChar w:fldCharType="begin"/>
        </w:r>
        <w:r w:rsidRPr="00C47E5D">
          <w:rPr>
            <w:rFonts w:cs="Times New Roman"/>
          </w:rPr>
          <w:instrText xml:space="preserve"> PAGE   \* MERGEFORMAT </w:instrText>
        </w:r>
        <w:r w:rsidRPr="00C47E5D">
          <w:rPr>
            <w:rFonts w:cs="Times New Roman"/>
          </w:rPr>
          <w:fldChar w:fldCharType="separate"/>
        </w:r>
        <w:r w:rsidR="00330E7A">
          <w:rPr>
            <w:rFonts w:cs="Times New Roman"/>
            <w:noProof/>
          </w:rPr>
          <w:t>XXII</w:t>
        </w:r>
        <w:r w:rsidRPr="00C47E5D">
          <w:rPr>
            <w:rFonts w:cs="Times New Roman"/>
            <w:noProof/>
          </w:rPr>
          <w:fldChar w:fldCharType="end"/>
        </w:r>
        <w:r w:rsidRPr="00C47E5D">
          <w:rPr>
            <w:rFonts w:cs="Times New Roman"/>
          </w:rPr>
          <w:t xml:space="preserve"> | </w:t>
        </w:r>
        <w:r w:rsidRPr="00C47E5D">
          <w:rPr>
            <w:rFonts w:cs="Times New Roman"/>
            <w:color w:val="808080" w:themeColor="background1" w:themeShade="80"/>
            <w:spacing w:val="60"/>
          </w:rPr>
          <w:t>Page</w:t>
        </w:r>
      </w:p>
    </w:sdtContent>
  </w:sdt>
  <w:p w:rsidR="00281111" w:rsidRDefault="002811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7E0" w:rsidRDefault="002377E0" w:rsidP="00314344">
      <w:pPr>
        <w:spacing w:after="0" w:line="240" w:lineRule="auto"/>
      </w:pPr>
      <w:r>
        <w:separator/>
      </w:r>
    </w:p>
  </w:footnote>
  <w:footnote w:type="continuationSeparator" w:id="0">
    <w:p w:rsidR="002377E0" w:rsidRDefault="002377E0" w:rsidP="003143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7335"/>
    <w:multiLevelType w:val="hybridMultilevel"/>
    <w:tmpl w:val="9D8234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33E1E"/>
    <w:multiLevelType w:val="hybridMultilevel"/>
    <w:tmpl w:val="BED0D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544D98"/>
    <w:multiLevelType w:val="hybridMultilevel"/>
    <w:tmpl w:val="E500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BA0FE9"/>
    <w:multiLevelType w:val="hybridMultilevel"/>
    <w:tmpl w:val="EAB01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F54B1E"/>
    <w:multiLevelType w:val="hybridMultilevel"/>
    <w:tmpl w:val="C396C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05A"/>
    <w:rsid w:val="00000847"/>
    <w:rsid w:val="00022424"/>
    <w:rsid w:val="0002344E"/>
    <w:rsid w:val="00031990"/>
    <w:rsid w:val="00037946"/>
    <w:rsid w:val="00072D0B"/>
    <w:rsid w:val="00086F74"/>
    <w:rsid w:val="00096928"/>
    <w:rsid w:val="000C5830"/>
    <w:rsid w:val="000D047D"/>
    <w:rsid w:val="000E0923"/>
    <w:rsid w:val="000E4944"/>
    <w:rsid w:val="000F662F"/>
    <w:rsid w:val="0013311D"/>
    <w:rsid w:val="00151982"/>
    <w:rsid w:val="00165170"/>
    <w:rsid w:val="001712C1"/>
    <w:rsid w:val="00190DB6"/>
    <w:rsid w:val="0019697A"/>
    <w:rsid w:val="001A5342"/>
    <w:rsid w:val="001C062A"/>
    <w:rsid w:val="001C64AF"/>
    <w:rsid w:val="001C71E7"/>
    <w:rsid w:val="001F215F"/>
    <w:rsid w:val="002070F6"/>
    <w:rsid w:val="00226440"/>
    <w:rsid w:val="002377E0"/>
    <w:rsid w:val="00237B61"/>
    <w:rsid w:val="0024624D"/>
    <w:rsid w:val="00260646"/>
    <w:rsid w:val="002626A6"/>
    <w:rsid w:val="00272FC1"/>
    <w:rsid w:val="00281111"/>
    <w:rsid w:val="00297C49"/>
    <w:rsid w:val="002A5B92"/>
    <w:rsid w:val="002A7675"/>
    <w:rsid w:val="00314344"/>
    <w:rsid w:val="003238B6"/>
    <w:rsid w:val="00330E7A"/>
    <w:rsid w:val="00346BC8"/>
    <w:rsid w:val="00351E74"/>
    <w:rsid w:val="00357EE3"/>
    <w:rsid w:val="00367C8E"/>
    <w:rsid w:val="00380FC1"/>
    <w:rsid w:val="003B2FD1"/>
    <w:rsid w:val="003B599A"/>
    <w:rsid w:val="003B5AFF"/>
    <w:rsid w:val="003D06D6"/>
    <w:rsid w:val="003D2FA1"/>
    <w:rsid w:val="003F46CA"/>
    <w:rsid w:val="003F4A36"/>
    <w:rsid w:val="00404213"/>
    <w:rsid w:val="00405F81"/>
    <w:rsid w:val="004773D5"/>
    <w:rsid w:val="00477DC8"/>
    <w:rsid w:val="004876D0"/>
    <w:rsid w:val="00494A97"/>
    <w:rsid w:val="004B54FC"/>
    <w:rsid w:val="004C0723"/>
    <w:rsid w:val="004D5091"/>
    <w:rsid w:val="004E42D2"/>
    <w:rsid w:val="004F32F6"/>
    <w:rsid w:val="004F541D"/>
    <w:rsid w:val="00535601"/>
    <w:rsid w:val="0055383B"/>
    <w:rsid w:val="00561AAF"/>
    <w:rsid w:val="00572903"/>
    <w:rsid w:val="00585549"/>
    <w:rsid w:val="005B2170"/>
    <w:rsid w:val="005D1CB2"/>
    <w:rsid w:val="005D738D"/>
    <w:rsid w:val="00602451"/>
    <w:rsid w:val="00622E8A"/>
    <w:rsid w:val="00626445"/>
    <w:rsid w:val="00630B36"/>
    <w:rsid w:val="006409EA"/>
    <w:rsid w:val="0064584D"/>
    <w:rsid w:val="00676369"/>
    <w:rsid w:val="00680B65"/>
    <w:rsid w:val="006A2543"/>
    <w:rsid w:val="006A6D3A"/>
    <w:rsid w:val="006C306A"/>
    <w:rsid w:val="006C5D87"/>
    <w:rsid w:val="006F2E1D"/>
    <w:rsid w:val="006F2F6C"/>
    <w:rsid w:val="00702EE2"/>
    <w:rsid w:val="00707389"/>
    <w:rsid w:val="00712D32"/>
    <w:rsid w:val="007158ED"/>
    <w:rsid w:val="00716BFE"/>
    <w:rsid w:val="00723540"/>
    <w:rsid w:val="00755F37"/>
    <w:rsid w:val="00761379"/>
    <w:rsid w:val="00761A30"/>
    <w:rsid w:val="00784A46"/>
    <w:rsid w:val="007946A5"/>
    <w:rsid w:val="007A2C80"/>
    <w:rsid w:val="007B348C"/>
    <w:rsid w:val="007B546E"/>
    <w:rsid w:val="007C3C6B"/>
    <w:rsid w:val="007D2EF4"/>
    <w:rsid w:val="007E1376"/>
    <w:rsid w:val="00800046"/>
    <w:rsid w:val="00825F39"/>
    <w:rsid w:val="0082739D"/>
    <w:rsid w:val="00835D89"/>
    <w:rsid w:val="008415DC"/>
    <w:rsid w:val="0086443F"/>
    <w:rsid w:val="008C2064"/>
    <w:rsid w:val="008D0A3B"/>
    <w:rsid w:val="008D1D32"/>
    <w:rsid w:val="008E3B28"/>
    <w:rsid w:val="00904217"/>
    <w:rsid w:val="00922501"/>
    <w:rsid w:val="00926875"/>
    <w:rsid w:val="00941BAA"/>
    <w:rsid w:val="009562A5"/>
    <w:rsid w:val="00963BE4"/>
    <w:rsid w:val="0096602E"/>
    <w:rsid w:val="00982AFA"/>
    <w:rsid w:val="00984A83"/>
    <w:rsid w:val="00996A6F"/>
    <w:rsid w:val="009B64B8"/>
    <w:rsid w:val="009C5F42"/>
    <w:rsid w:val="009E15C9"/>
    <w:rsid w:val="009F6D4A"/>
    <w:rsid w:val="00A11105"/>
    <w:rsid w:val="00A31E7F"/>
    <w:rsid w:val="00A518DF"/>
    <w:rsid w:val="00A55ED4"/>
    <w:rsid w:val="00A67131"/>
    <w:rsid w:val="00A7284E"/>
    <w:rsid w:val="00A8187A"/>
    <w:rsid w:val="00A87F05"/>
    <w:rsid w:val="00A9628F"/>
    <w:rsid w:val="00AB691A"/>
    <w:rsid w:val="00AC1214"/>
    <w:rsid w:val="00AD2139"/>
    <w:rsid w:val="00AF7FE4"/>
    <w:rsid w:val="00B25C42"/>
    <w:rsid w:val="00B279C8"/>
    <w:rsid w:val="00B31A5C"/>
    <w:rsid w:val="00B542EA"/>
    <w:rsid w:val="00B54B81"/>
    <w:rsid w:val="00B91234"/>
    <w:rsid w:val="00BB0263"/>
    <w:rsid w:val="00BD0414"/>
    <w:rsid w:val="00BD4064"/>
    <w:rsid w:val="00BE4A2B"/>
    <w:rsid w:val="00BF073F"/>
    <w:rsid w:val="00C073E1"/>
    <w:rsid w:val="00C12E57"/>
    <w:rsid w:val="00C20EBA"/>
    <w:rsid w:val="00C4486C"/>
    <w:rsid w:val="00C47E5D"/>
    <w:rsid w:val="00C514F2"/>
    <w:rsid w:val="00C56FD2"/>
    <w:rsid w:val="00C619AF"/>
    <w:rsid w:val="00C645E7"/>
    <w:rsid w:val="00C80550"/>
    <w:rsid w:val="00CD6D7F"/>
    <w:rsid w:val="00D03C7F"/>
    <w:rsid w:val="00D240F9"/>
    <w:rsid w:val="00DA362D"/>
    <w:rsid w:val="00DB099E"/>
    <w:rsid w:val="00DC2420"/>
    <w:rsid w:val="00DD2675"/>
    <w:rsid w:val="00DD308A"/>
    <w:rsid w:val="00DE6135"/>
    <w:rsid w:val="00DF71B2"/>
    <w:rsid w:val="00E03A43"/>
    <w:rsid w:val="00E125B9"/>
    <w:rsid w:val="00E1350D"/>
    <w:rsid w:val="00E20101"/>
    <w:rsid w:val="00E53A77"/>
    <w:rsid w:val="00E82874"/>
    <w:rsid w:val="00E83C57"/>
    <w:rsid w:val="00EB4D57"/>
    <w:rsid w:val="00EC579A"/>
    <w:rsid w:val="00ED3302"/>
    <w:rsid w:val="00F16B8D"/>
    <w:rsid w:val="00F76847"/>
    <w:rsid w:val="00F83D5E"/>
    <w:rsid w:val="00F912A5"/>
    <w:rsid w:val="00F96D42"/>
    <w:rsid w:val="00FC2ABC"/>
    <w:rsid w:val="00FD3D9D"/>
    <w:rsid w:val="00FF1143"/>
    <w:rsid w:val="00FF705A"/>
    <w:rsid w:val="00FF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D57"/>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CD6D7F"/>
    <w:pPr>
      <w:keepNext/>
      <w:keepLines/>
      <w:spacing w:before="480" w:after="0"/>
      <w:jc w:val="center"/>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AF7FE4"/>
    <w:pPr>
      <w:keepNext/>
      <w:keepLines/>
      <w:spacing w:before="200" w:after="0"/>
      <w:jc w:val="center"/>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semiHidden/>
    <w:unhideWhenUsed/>
    <w:qFormat/>
    <w:rsid w:val="00BF073F"/>
    <w:pPr>
      <w:keepNext/>
      <w:keepLines/>
      <w:spacing w:before="200" w:after="0"/>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7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05A"/>
    <w:rPr>
      <w:rFonts w:ascii="Tahoma" w:hAnsi="Tahoma" w:cs="Tahoma"/>
      <w:sz w:val="16"/>
      <w:szCs w:val="16"/>
    </w:rPr>
  </w:style>
  <w:style w:type="character" w:customStyle="1" w:styleId="Heading1Char">
    <w:name w:val="Heading 1 Char"/>
    <w:basedOn w:val="DefaultParagraphFont"/>
    <w:link w:val="Heading1"/>
    <w:uiPriority w:val="9"/>
    <w:rsid w:val="00CD6D7F"/>
    <w:rPr>
      <w:rFonts w:ascii="Times New Roman" w:eastAsiaTheme="majorEastAsia" w:hAnsi="Times New Roman" w:cstheme="majorBidi"/>
      <w:b/>
      <w:bCs/>
      <w:color w:val="000000" w:themeColor="text1"/>
      <w:sz w:val="40"/>
      <w:szCs w:val="28"/>
    </w:rPr>
  </w:style>
  <w:style w:type="paragraph" w:styleId="Header">
    <w:name w:val="header"/>
    <w:basedOn w:val="Normal"/>
    <w:link w:val="HeaderChar"/>
    <w:uiPriority w:val="99"/>
    <w:unhideWhenUsed/>
    <w:rsid w:val="00314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344"/>
    <w:rPr>
      <w:rFonts w:ascii="Times New Roman" w:hAnsi="Times New Roman"/>
      <w:sz w:val="24"/>
    </w:rPr>
  </w:style>
  <w:style w:type="paragraph" w:styleId="Footer">
    <w:name w:val="footer"/>
    <w:basedOn w:val="Normal"/>
    <w:link w:val="FooterChar"/>
    <w:uiPriority w:val="99"/>
    <w:unhideWhenUsed/>
    <w:rsid w:val="00314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344"/>
    <w:rPr>
      <w:rFonts w:ascii="Times New Roman" w:hAnsi="Times New Roman"/>
      <w:sz w:val="24"/>
    </w:rPr>
  </w:style>
  <w:style w:type="paragraph" w:styleId="NormalWeb">
    <w:name w:val="Normal (Web)"/>
    <w:basedOn w:val="Normal"/>
    <w:uiPriority w:val="99"/>
    <w:semiHidden/>
    <w:unhideWhenUsed/>
    <w:rsid w:val="00EB4D57"/>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9562A5"/>
    <w:pPr>
      <w:spacing w:line="276" w:lineRule="auto"/>
      <w:jc w:val="left"/>
      <w:outlineLvl w:val="9"/>
    </w:pPr>
    <w:rPr>
      <w:rFonts w:asciiTheme="majorHAnsi" w:hAnsiTheme="majorHAnsi"/>
      <w:b w:val="0"/>
      <w:color w:val="365F91" w:themeColor="accent1" w:themeShade="BF"/>
      <w:sz w:val="28"/>
      <w:lang w:eastAsia="ja-JP"/>
    </w:rPr>
  </w:style>
  <w:style w:type="paragraph" w:styleId="TOC1">
    <w:name w:val="toc 1"/>
    <w:basedOn w:val="Normal"/>
    <w:next w:val="Normal"/>
    <w:autoRedefine/>
    <w:uiPriority w:val="39"/>
    <w:unhideWhenUsed/>
    <w:rsid w:val="00E53A77"/>
    <w:pPr>
      <w:tabs>
        <w:tab w:val="right" w:leader="dot" w:pos="9350"/>
      </w:tabs>
      <w:spacing w:after="100" w:line="360" w:lineRule="auto"/>
      <w:jc w:val="center"/>
    </w:pPr>
    <w:rPr>
      <w:rFonts w:asciiTheme="minorHAnsi" w:hAnsiTheme="minorHAnsi"/>
      <w:b/>
      <w:i/>
      <w:sz w:val="48"/>
      <w:szCs w:val="48"/>
    </w:rPr>
  </w:style>
  <w:style w:type="character" w:styleId="Hyperlink">
    <w:name w:val="Hyperlink"/>
    <w:basedOn w:val="DefaultParagraphFont"/>
    <w:uiPriority w:val="99"/>
    <w:unhideWhenUsed/>
    <w:rsid w:val="009562A5"/>
    <w:rPr>
      <w:color w:val="0000FF" w:themeColor="hyperlink"/>
      <w:u w:val="single"/>
    </w:rPr>
  </w:style>
  <w:style w:type="paragraph" w:styleId="ListParagraph">
    <w:name w:val="List Paragraph"/>
    <w:basedOn w:val="Normal"/>
    <w:uiPriority w:val="34"/>
    <w:qFormat/>
    <w:rsid w:val="00CD6D7F"/>
    <w:pPr>
      <w:ind w:left="720"/>
      <w:contextualSpacing/>
    </w:pPr>
  </w:style>
  <w:style w:type="paragraph" w:customStyle="1" w:styleId="Heading31">
    <w:name w:val="Heading 31"/>
    <w:basedOn w:val="Normal"/>
    <w:next w:val="Normal"/>
    <w:uiPriority w:val="9"/>
    <w:unhideWhenUsed/>
    <w:qFormat/>
    <w:rsid w:val="00BF073F"/>
    <w:pPr>
      <w:keepNext/>
      <w:keepLines/>
      <w:spacing w:before="200" w:after="0"/>
      <w:outlineLvl w:val="2"/>
    </w:pPr>
    <w:rPr>
      <w:rFonts w:ascii="Cambria" w:eastAsia="Times New Roman" w:hAnsi="Cambria" w:cs="Times New Roman"/>
      <w:b/>
      <w:bCs/>
      <w:color w:val="4F81BD"/>
    </w:rPr>
  </w:style>
  <w:style w:type="character" w:customStyle="1" w:styleId="Heading3Char">
    <w:name w:val="Heading 3 Char"/>
    <w:basedOn w:val="DefaultParagraphFont"/>
    <w:link w:val="Heading3"/>
    <w:uiPriority w:val="9"/>
    <w:rsid w:val="00BF073F"/>
    <w:rPr>
      <w:rFonts w:ascii="Cambria" w:eastAsia="Times New Roman" w:hAnsi="Cambria" w:cs="Times New Roman"/>
      <w:b/>
      <w:bCs/>
      <w:color w:val="4F81BD"/>
      <w:sz w:val="24"/>
    </w:rPr>
  </w:style>
  <w:style w:type="character" w:customStyle="1" w:styleId="Heading3Char1">
    <w:name w:val="Heading 3 Char1"/>
    <w:basedOn w:val="DefaultParagraphFont"/>
    <w:uiPriority w:val="9"/>
    <w:semiHidden/>
    <w:rsid w:val="00BF073F"/>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585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AF7FE4"/>
    <w:pPr>
      <w:numPr>
        <w:ilvl w:val="1"/>
      </w:numPr>
    </w:pPr>
    <w:rPr>
      <w:rFonts w:eastAsiaTheme="majorEastAsia" w:cstheme="majorBidi"/>
      <w:i/>
      <w:iCs/>
      <w:color w:val="000000" w:themeColor="text1"/>
      <w:spacing w:val="15"/>
      <w:sz w:val="32"/>
      <w:szCs w:val="24"/>
    </w:rPr>
  </w:style>
  <w:style w:type="character" w:customStyle="1" w:styleId="SubtitleChar">
    <w:name w:val="Subtitle Char"/>
    <w:basedOn w:val="DefaultParagraphFont"/>
    <w:link w:val="Subtitle"/>
    <w:uiPriority w:val="11"/>
    <w:rsid w:val="00AF7FE4"/>
    <w:rPr>
      <w:rFonts w:ascii="Times New Roman" w:eastAsiaTheme="majorEastAsia" w:hAnsi="Times New Roman" w:cstheme="majorBidi"/>
      <w:i/>
      <w:iCs/>
      <w:color w:val="000000" w:themeColor="text1"/>
      <w:spacing w:val="15"/>
      <w:sz w:val="32"/>
      <w:szCs w:val="24"/>
    </w:rPr>
  </w:style>
  <w:style w:type="character" w:customStyle="1" w:styleId="Heading2Char">
    <w:name w:val="Heading 2 Char"/>
    <w:basedOn w:val="DefaultParagraphFont"/>
    <w:link w:val="Heading2"/>
    <w:uiPriority w:val="9"/>
    <w:rsid w:val="00AF7FE4"/>
    <w:rPr>
      <w:rFonts w:ascii="Times New Roman" w:eastAsiaTheme="majorEastAsia" w:hAnsi="Times New Roman" w:cstheme="majorBidi"/>
      <w:b/>
      <w:bCs/>
      <w:color w:val="000000" w:themeColor="text1"/>
      <w:sz w:val="32"/>
      <w:szCs w:val="26"/>
    </w:rPr>
  </w:style>
  <w:style w:type="paragraph" w:styleId="TOC2">
    <w:name w:val="toc 2"/>
    <w:basedOn w:val="Normal"/>
    <w:next w:val="Normal"/>
    <w:autoRedefine/>
    <w:uiPriority w:val="39"/>
    <w:unhideWhenUsed/>
    <w:rsid w:val="00AF7FE4"/>
    <w:pPr>
      <w:spacing w:after="100"/>
      <w:ind w:left="240"/>
    </w:pPr>
  </w:style>
  <w:style w:type="character" w:styleId="PlaceholderText">
    <w:name w:val="Placeholder Text"/>
    <w:basedOn w:val="DefaultParagraphFont"/>
    <w:uiPriority w:val="99"/>
    <w:semiHidden/>
    <w:rsid w:val="00941BA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D57"/>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CD6D7F"/>
    <w:pPr>
      <w:keepNext/>
      <w:keepLines/>
      <w:spacing w:before="480" w:after="0"/>
      <w:jc w:val="center"/>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AF7FE4"/>
    <w:pPr>
      <w:keepNext/>
      <w:keepLines/>
      <w:spacing w:before="200" w:after="0"/>
      <w:jc w:val="center"/>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semiHidden/>
    <w:unhideWhenUsed/>
    <w:qFormat/>
    <w:rsid w:val="00BF073F"/>
    <w:pPr>
      <w:keepNext/>
      <w:keepLines/>
      <w:spacing w:before="200" w:after="0"/>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7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05A"/>
    <w:rPr>
      <w:rFonts w:ascii="Tahoma" w:hAnsi="Tahoma" w:cs="Tahoma"/>
      <w:sz w:val="16"/>
      <w:szCs w:val="16"/>
    </w:rPr>
  </w:style>
  <w:style w:type="character" w:customStyle="1" w:styleId="Heading1Char">
    <w:name w:val="Heading 1 Char"/>
    <w:basedOn w:val="DefaultParagraphFont"/>
    <w:link w:val="Heading1"/>
    <w:uiPriority w:val="9"/>
    <w:rsid w:val="00CD6D7F"/>
    <w:rPr>
      <w:rFonts w:ascii="Times New Roman" w:eastAsiaTheme="majorEastAsia" w:hAnsi="Times New Roman" w:cstheme="majorBidi"/>
      <w:b/>
      <w:bCs/>
      <w:color w:val="000000" w:themeColor="text1"/>
      <w:sz w:val="40"/>
      <w:szCs w:val="28"/>
    </w:rPr>
  </w:style>
  <w:style w:type="paragraph" w:styleId="Header">
    <w:name w:val="header"/>
    <w:basedOn w:val="Normal"/>
    <w:link w:val="HeaderChar"/>
    <w:uiPriority w:val="99"/>
    <w:unhideWhenUsed/>
    <w:rsid w:val="00314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344"/>
    <w:rPr>
      <w:rFonts w:ascii="Times New Roman" w:hAnsi="Times New Roman"/>
      <w:sz w:val="24"/>
    </w:rPr>
  </w:style>
  <w:style w:type="paragraph" w:styleId="Footer">
    <w:name w:val="footer"/>
    <w:basedOn w:val="Normal"/>
    <w:link w:val="FooterChar"/>
    <w:uiPriority w:val="99"/>
    <w:unhideWhenUsed/>
    <w:rsid w:val="00314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344"/>
    <w:rPr>
      <w:rFonts w:ascii="Times New Roman" w:hAnsi="Times New Roman"/>
      <w:sz w:val="24"/>
    </w:rPr>
  </w:style>
  <w:style w:type="paragraph" w:styleId="NormalWeb">
    <w:name w:val="Normal (Web)"/>
    <w:basedOn w:val="Normal"/>
    <w:uiPriority w:val="99"/>
    <w:semiHidden/>
    <w:unhideWhenUsed/>
    <w:rsid w:val="00EB4D57"/>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9562A5"/>
    <w:pPr>
      <w:spacing w:line="276" w:lineRule="auto"/>
      <w:jc w:val="left"/>
      <w:outlineLvl w:val="9"/>
    </w:pPr>
    <w:rPr>
      <w:rFonts w:asciiTheme="majorHAnsi" w:hAnsiTheme="majorHAnsi"/>
      <w:b w:val="0"/>
      <w:color w:val="365F91" w:themeColor="accent1" w:themeShade="BF"/>
      <w:sz w:val="28"/>
      <w:lang w:eastAsia="ja-JP"/>
    </w:rPr>
  </w:style>
  <w:style w:type="paragraph" w:styleId="TOC1">
    <w:name w:val="toc 1"/>
    <w:basedOn w:val="Normal"/>
    <w:next w:val="Normal"/>
    <w:autoRedefine/>
    <w:uiPriority w:val="39"/>
    <w:unhideWhenUsed/>
    <w:rsid w:val="00E53A77"/>
    <w:pPr>
      <w:tabs>
        <w:tab w:val="right" w:leader="dot" w:pos="9350"/>
      </w:tabs>
      <w:spacing w:after="100" w:line="360" w:lineRule="auto"/>
      <w:jc w:val="center"/>
    </w:pPr>
    <w:rPr>
      <w:rFonts w:asciiTheme="minorHAnsi" w:hAnsiTheme="minorHAnsi"/>
      <w:b/>
      <w:i/>
      <w:sz w:val="48"/>
      <w:szCs w:val="48"/>
    </w:rPr>
  </w:style>
  <w:style w:type="character" w:styleId="Hyperlink">
    <w:name w:val="Hyperlink"/>
    <w:basedOn w:val="DefaultParagraphFont"/>
    <w:uiPriority w:val="99"/>
    <w:unhideWhenUsed/>
    <w:rsid w:val="009562A5"/>
    <w:rPr>
      <w:color w:val="0000FF" w:themeColor="hyperlink"/>
      <w:u w:val="single"/>
    </w:rPr>
  </w:style>
  <w:style w:type="paragraph" w:styleId="ListParagraph">
    <w:name w:val="List Paragraph"/>
    <w:basedOn w:val="Normal"/>
    <w:uiPriority w:val="34"/>
    <w:qFormat/>
    <w:rsid w:val="00CD6D7F"/>
    <w:pPr>
      <w:ind w:left="720"/>
      <w:contextualSpacing/>
    </w:pPr>
  </w:style>
  <w:style w:type="paragraph" w:customStyle="1" w:styleId="Heading31">
    <w:name w:val="Heading 31"/>
    <w:basedOn w:val="Normal"/>
    <w:next w:val="Normal"/>
    <w:uiPriority w:val="9"/>
    <w:unhideWhenUsed/>
    <w:qFormat/>
    <w:rsid w:val="00BF073F"/>
    <w:pPr>
      <w:keepNext/>
      <w:keepLines/>
      <w:spacing w:before="200" w:after="0"/>
      <w:outlineLvl w:val="2"/>
    </w:pPr>
    <w:rPr>
      <w:rFonts w:ascii="Cambria" w:eastAsia="Times New Roman" w:hAnsi="Cambria" w:cs="Times New Roman"/>
      <w:b/>
      <w:bCs/>
      <w:color w:val="4F81BD"/>
    </w:rPr>
  </w:style>
  <w:style w:type="character" w:customStyle="1" w:styleId="Heading3Char">
    <w:name w:val="Heading 3 Char"/>
    <w:basedOn w:val="DefaultParagraphFont"/>
    <w:link w:val="Heading3"/>
    <w:uiPriority w:val="9"/>
    <w:rsid w:val="00BF073F"/>
    <w:rPr>
      <w:rFonts w:ascii="Cambria" w:eastAsia="Times New Roman" w:hAnsi="Cambria" w:cs="Times New Roman"/>
      <w:b/>
      <w:bCs/>
      <w:color w:val="4F81BD"/>
      <w:sz w:val="24"/>
    </w:rPr>
  </w:style>
  <w:style w:type="character" w:customStyle="1" w:styleId="Heading3Char1">
    <w:name w:val="Heading 3 Char1"/>
    <w:basedOn w:val="DefaultParagraphFont"/>
    <w:uiPriority w:val="9"/>
    <w:semiHidden/>
    <w:rsid w:val="00BF073F"/>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585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AF7FE4"/>
    <w:pPr>
      <w:numPr>
        <w:ilvl w:val="1"/>
      </w:numPr>
    </w:pPr>
    <w:rPr>
      <w:rFonts w:eastAsiaTheme="majorEastAsia" w:cstheme="majorBidi"/>
      <w:i/>
      <w:iCs/>
      <w:color w:val="000000" w:themeColor="text1"/>
      <w:spacing w:val="15"/>
      <w:sz w:val="32"/>
      <w:szCs w:val="24"/>
    </w:rPr>
  </w:style>
  <w:style w:type="character" w:customStyle="1" w:styleId="SubtitleChar">
    <w:name w:val="Subtitle Char"/>
    <w:basedOn w:val="DefaultParagraphFont"/>
    <w:link w:val="Subtitle"/>
    <w:uiPriority w:val="11"/>
    <w:rsid w:val="00AF7FE4"/>
    <w:rPr>
      <w:rFonts w:ascii="Times New Roman" w:eastAsiaTheme="majorEastAsia" w:hAnsi="Times New Roman" w:cstheme="majorBidi"/>
      <w:i/>
      <w:iCs/>
      <w:color w:val="000000" w:themeColor="text1"/>
      <w:spacing w:val="15"/>
      <w:sz w:val="32"/>
      <w:szCs w:val="24"/>
    </w:rPr>
  </w:style>
  <w:style w:type="character" w:customStyle="1" w:styleId="Heading2Char">
    <w:name w:val="Heading 2 Char"/>
    <w:basedOn w:val="DefaultParagraphFont"/>
    <w:link w:val="Heading2"/>
    <w:uiPriority w:val="9"/>
    <w:rsid w:val="00AF7FE4"/>
    <w:rPr>
      <w:rFonts w:ascii="Times New Roman" w:eastAsiaTheme="majorEastAsia" w:hAnsi="Times New Roman" w:cstheme="majorBidi"/>
      <w:b/>
      <w:bCs/>
      <w:color w:val="000000" w:themeColor="text1"/>
      <w:sz w:val="32"/>
      <w:szCs w:val="26"/>
    </w:rPr>
  </w:style>
  <w:style w:type="paragraph" w:styleId="TOC2">
    <w:name w:val="toc 2"/>
    <w:basedOn w:val="Normal"/>
    <w:next w:val="Normal"/>
    <w:autoRedefine/>
    <w:uiPriority w:val="39"/>
    <w:unhideWhenUsed/>
    <w:rsid w:val="00AF7FE4"/>
    <w:pPr>
      <w:spacing w:after="100"/>
      <w:ind w:left="240"/>
    </w:pPr>
  </w:style>
  <w:style w:type="character" w:styleId="PlaceholderText">
    <w:name w:val="Placeholder Text"/>
    <w:basedOn w:val="DefaultParagraphFont"/>
    <w:uiPriority w:val="99"/>
    <w:semiHidden/>
    <w:rsid w:val="00941B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3842">
      <w:bodyDiv w:val="1"/>
      <w:marLeft w:val="0"/>
      <w:marRight w:val="0"/>
      <w:marTop w:val="0"/>
      <w:marBottom w:val="0"/>
      <w:divBdr>
        <w:top w:val="none" w:sz="0" w:space="0" w:color="auto"/>
        <w:left w:val="none" w:sz="0" w:space="0" w:color="auto"/>
        <w:bottom w:val="none" w:sz="0" w:space="0" w:color="auto"/>
        <w:right w:val="none" w:sz="0" w:space="0" w:color="auto"/>
      </w:divBdr>
    </w:div>
    <w:div w:id="118572374">
      <w:bodyDiv w:val="1"/>
      <w:marLeft w:val="0"/>
      <w:marRight w:val="0"/>
      <w:marTop w:val="0"/>
      <w:marBottom w:val="0"/>
      <w:divBdr>
        <w:top w:val="none" w:sz="0" w:space="0" w:color="auto"/>
        <w:left w:val="none" w:sz="0" w:space="0" w:color="auto"/>
        <w:bottom w:val="none" w:sz="0" w:space="0" w:color="auto"/>
        <w:right w:val="none" w:sz="0" w:space="0" w:color="auto"/>
      </w:divBdr>
    </w:div>
    <w:div w:id="158349705">
      <w:bodyDiv w:val="1"/>
      <w:marLeft w:val="0"/>
      <w:marRight w:val="0"/>
      <w:marTop w:val="0"/>
      <w:marBottom w:val="0"/>
      <w:divBdr>
        <w:top w:val="none" w:sz="0" w:space="0" w:color="auto"/>
        <w:left w:val="none" w:sz="0" w:space="0" w:color="auto"/>
        <w:bottom w:val="none" w:sz="0" w:space="0" w:color="auto"/>
        <w:right w:val="none" w:sz="0" w:space="0" w:color="auto"/>
      </w:divBdr>
    </w:div>
    <w:div w:id="163520361">
      <w:bodyDiv w:val="1"/>
      <w:marLeft w:val="0"/>
      <w:marRight w:val="0"/>
      <w:marTop w:val="0"/>
      <w:marBottom w:val="0"/>
      <w:divBdr>
        <w:top w:val="none" w:sz="0" w:space="0" w:color="auto"/>
        <w:left w:val="none" w:sz="0" w:space="0" w:color="auto"/>
        <w:bottom w:val="none" w:sz="0" w:space="0" w:color="auto"/>
        <w:right w:val="none" w:sz="0" w:space="0" w:color="auto"/>
      </w:divBdr>
      <w:divsChild>
        <w:div w:id="1802579463">
          <w:marLeft w:val="0"/>
          <w:marRight w:val="0"/>
          <w:marTop w:val="0"/>
          <w:marBottom w:val="0"/>
          <w:divBdr>
            <w:top w:val="none" w:sz="0" w:space="0" w:color="auto"/>
            <w:left w:val="none" w:sz="0" w:space="0" w:color="auto"/>
            <w:bottom w:val="none" w:sz="0" w:space="0" w:color="auto"/>
            <w:right w:val="none" w:sz="0" w:space="0" w:color="auto"/>
          </w:divBdr>
        </w:div>
      </w:divsChild>
    </w:div>
    <w:div w:id="312757819">
      <w:bodyDiv w:val="1"/>
      <w:marLeft w:val="0"/>
      <w:marRight w:val="0"/>
      <w:marTop w:val="0"/>
      <w:marBottom w:val="0"/>
      <w:divBdr>
        <w:top w:val="none" w:sz="0" w:space="0" w:color="auto"/>
        <w:left w:val="none" w:sz="0" w:space="0" w:color="auto"/>
        <w:bottom w:val="none" w:sz="0" w:space="0" w:color="auto"/>
        <w:right w:val="none" w:sz="0" w:space="0" w:color="auto"/>
      </w:divBdr>
    </w:div>
    <w:div w:id="515309806">
      <w:bodyDiv w:val="1"/>
      <w:marLeft w:val="0"/>
      <w:marRight w:val="0"/>
      <w:marTop w:val="0"/>
      <w:marBottom w:val="0"/>
      <w:divBdr>
        <w:top w:val="none" w:sz="0" w:space="0" w:color="auto"/>
        <w:left w:val="none" w:sz="0" w:space="0" w:color="auto"/>
        <w:bottom w:val="none" w:sz="0" w:space="0" w:color="auto"/>
        <w:right w:val="none" w:sz="0" w:space="0" w:color="auto"/>
      </w:divBdr>
    </w:div>
    <w:div w:id="741223250">
      <w:bodyDiv w:val="1"/>
      <w:marLeft w:val="0"/>
      <w:marRight w:val="0"/>
      <w:marTop w:val="0"/>
      <w:marBottom w:val="0"/>
      <w:divBdr>
        <w:top w:val="none" w:sz="0" w:space="0" w:color="auto"/>
        <w:left w:val="none" w:sz="0" w:space="0" w:color="auto"/>
        <w:bottom w:val="none" w:sz="0" w:space="0" w:color="auto"/>
        <w:right w:val="none" w:sz="0" w:space="0" w:color="auto"/>
      </w:divBdr>
    </w:div>
    <w:div w:id="930939347">
      <w:bodyDiv w:val="1"/>
      <w:marLeft w:val="0"/>
      <w:marRight w:val="0"/>
      <w:marTop w:val="0"/>
      <w:marBottom w:val="0"/>
      <w:divBdr>
        <w:top w:val="none" w:sz="0" w:space="0" w:color="auto"/>
        <w:left w:val="none" w:sz="0" w:space="0" w:color="auto"/>
        <w:bottom w:val="none" w:sz="0" w:space="0" w:color="auto"/>
        <w:right w:val="none" w:sz="0" w:space="0" w:color="auto"/>
      </w:divBdr>
    </w:div>
    <w:div w:id="947007093">
      <w:bodyDiv w:val="1"/>
      <w:marLeft w:val="0"/>
      <w:marRight w:val="0"/>
      <w:marTop w:val="0"/>
      <w:marBottom w:val="0"/>
      <w:divBdr>
        <w:top w:val="none" w:sz="0" w:space="0" w:color="auto"/>
        <w:left w:val="none" w:sz="0" w:space="0" w:color="auto"/>
        <w:bottom w:val="none" w:sz="0" w:space="0" w:color="auto"/>
        <w:right w:val="none" w:sz="0" w:space="0" w:color="auto"/>
      </w:divBdr>
    </w:div>
    <w:div w:id="1108889363">
      <w:bodyDiv w:val="1"/>
      <w:marLeft w:val="0"/>
      <w:marRight w:val="0"/>
      <w:marTop w:val="0"/>
      <w:marBottom w:val="0"/>
      <w:divBdr>
        <w:top w:val="none" w:sz="0" w:space="0" w:color="auto"/>
        <w:left w:val="none" w:sz="0" w:space="0" w:color="auto"/>
        <w:bottom w:val="none" w:sz="0" w:space="0" w:color="auto"/>
        <w:right w:val="none" w:sz="0" w:space="0" w:color="auto"/>
      </w:divBdr>
    </w:div>
    <w:div w:id="1221744737">
      <w:bodyDiv w:val="1"/>
      <w:marLeft w:val="0"/>
      <w:marRight w:val="0"/>
      <w:marTop w:val="0"/>
      <w:marBottom w:val="0"/>
      <w:divBdr>
        <w:top w:val="none" w:sz="0" w:space="0" w:color="auto"/>
        <w:left w:val="none" w:sz="0" w:space="0" w:color="auto"/>
        <w:bottom w:val="none" w:sz="0" w:space="0" w:color="auto"/>
        <w:right w:val="none" w:sz="0" w:space="0" w:color="auto"/>
      </w:divBdr>
    </w:div>
    <w:div w:id="1239906077">
      <w:bodyDiv w:val="1"/>
      <w:marLeft w:val="0"/>
      <w:marRight w:val="0"/>
      <w:marTop w:val="0"/>
      <w:marBottom w:val="0"/>
      <w:divBdr>
        <w:top w:val="none" w:sz="0" w:space="0" w:color="auto"/>
        <w:left w:val="none" w:sz="0" w:space="0" w:color="auto"/>
        <w:bottom w:val="none" w:sz="0" w:space="0" w:color="auto"/>
        <w:right w:val="none" w:sz="0" w:space="0" w:color="auto"/>
      </w:divBdr>
    </w:div>
    <w:div w:id="1379939716">
      <w:bodyDiv w:val="1"/>
      <w:marLeft w:val="0"/>
      <w:marRight w:val="0"/>
      <w:marTop w:val="0"/>
      <w:marBottom w:val="0"/>
      <w:divBdr>
        <w:top w:val="none" w:sz="0" w:space="0" w:color="auto"/>
        <w:left w:val="none" w:sz="0" w:space="0" w:color="auto"/>
        <w:bottom w:val="none" w:sz="0" w:space="0" w:color="auto"/>
        <w:right w:val="none" w:sz="0" w:space="0" w:color="auto"/>
      </w:divBdr>
    </w:div>
    <w:div w:id="1541476126">
      <w:bodyDiv w:val="1"/>
      <w:marLeft w:val="0"/>
      <w:marRight w:val="0"/>
      <w:marTop w:val="0"/>
      <w:marBottom w:val="0"/>
      <w:divBdr>
        <w:top w:val="none" w:sz="0" w:space="0" w:color="auto"/>
        <w:left w:val="none" w:sz="0" w:space="0" w:color="auto"/>
        <w:bottom w:val="none" w:sz="0" w:space="0" w:color="auto"/>
        <w:right w:val="none" w:sz="0" w:space="0" w:color="auto"/>
      </w:divBdr>
    </w:div>
    <w:div w:id="1594975370">
      <w:bodyDiv w:val="1"/>
      <w:marLeft w:val="0"/>
      <w:marRight w:val="0"/>
      <w:marTop w:val="0"/>
      <w:marBottom w:val="0"/>
      <w:divBdr>
        <w:top w:val="none" w:sz="0" w:space="0" w:color="auto"/>
        <w:left w:val="none" w:sz="0" w:space="0" w:color="auto"/>
        <w:bottom w:val="none" w:sz="0" w:space="0" w:color="auto"/>
        <w:right w:val="none" w:sz="0" w:space="0" w:color="auto"/>
      </w:divBdr>
    </w:div>
    <w:div w:id="1694381828">
      <w:bodyDiv w:val="1"/>
      <w:marLeft w:val="0"/>
      <w:marRight w:val="0"/>
      <w:marTop w:val="0"/>
      <w:marBottom w:val="0"/>
      <w:divBdr>
        <w:top w:val="none" w:sz="0" w:space="0" w:color="auto"/>
        <w:left w:val="none" w:sz="0" w:space="0" w:color="auto"/>
        <w:bottom w:val="none" w:sz="0" w:space="0" w:color="auto"/>
        <w:right w:val="none" w:sz="0" w:space="0" w:color="auto"/>
      </w:divBdr>
    </w:div>
    <w:div w:id="1704593418">
      <w:bodyDiv w:val="1"/>
      <w:marLeft w:val="0"/>
      <w:marRight w:val="0"/>
      <w:marTop w:val="0"/>
      <w:marBottom w:val="0"/>
      <w:divBdr>
        <w:top w:val="none" w:sz="0" w:space="0" w:color="auto"/>
        <w:left w:val="none" w:sz="0" w:space="0" w:color="auto"/>
        <w:bottom w:val="none" w:sz="0" w:space="0" w:color="auto"/>
        <w:right w:val="none" w:sz="0" w:space="0" w:color="auto"/>
      </w:divBdr>
    </w:div>
    <w:div w:id="1787698106">
      <w:bodyDiv w:val="1"/>
      <w:marLeft w:val="0"/>
      <w:marRight w:val="0"/>
      <w:marTop w:val="0"/>
      <w:marBottom w:val="0"/>
      <w:divBdr>
        <w:top w:val="none" w:sz="0" w:space="0" w:color="auto"/>
        <w:left w:val="none" w:sz="0" w:space="0" w:color="auto"/>
        <w:bottom w:val="none" w:sz="0" w:space="0" w:color="auto"/>
        <w:right w:val="none" w:sz="0" w:space="0" w:color="auto"/>
      </w:divBdr>
    </w:div>
    <w:div w:id="1817331217">
      <w:bodyDiv w:val="1"/>
      <w:marLeft w:val="0"/>
      <w:marRight w:val="0"/>
      <w:marTop w:val="0"/>
      <w:marBottom w:val="0"/>
      <w:divBdr>
        <w:top w:val="none" w:sz="0" w:space="0" w:color="auto"/>
        <w:left w:val="none" w:sz="0" w:space="0" w:color="auto"/>
        <w:bottom w:val="none" w:sz="0" w:space="0" w:color="auto"/>
        <w:right w:val="none" w:sz="0" w:space="0" w:color="auto"/>
      </w:divBdr>
    </w:div>
    <w:div w:id="193176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hyperlink" Target="https://www.investopedia.com/terms/r/ratioanalysis.asp" TargetMode="External"/><Relationship Id="rId3" Type="http://schemas.openxmlformats.org/officeDocument/2006/relationships/styles" Target="styles.xml"/><Relationship Id="rId21" Type="http://schemas.openxmlformats.org/officeDocument/2006/relationships/hyperlink" Target="https://courses.lumenlearning.com/boundless-finance/chapter/overview-of-ratio-analysis" TargetMode="Externa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hyperlink" Target="https://www.investopedia.com/terms/a/acidtest.asp"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jamstockex.com/lasco-manufacturing-limited-lasm-annual-report-20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yperlink" Target="https://www.jamstockex.com/lasco-manufacturing-limited-lasm-annual-report-202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1111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2121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13131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package" Target="../embeddings/Microsoft_Excel_Worksheet14141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151515.xlsx"/><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en-US">
                <a:solidFill>
                  <a:srgbClr val="0033CC"/>
                </a:solidFill>
              </a:rPr>
              <a:t>Total of</a:t>
            </a:r>
            <a:r>
              <a:rPr lang="en-US" baseline="0">
                <a:solidFill>
                  <a:srgbClr val="0033CC"/>
                </a:solidFill>
              </a:rPr>
              <a:t> </a:t>
            </a:r>
            <a:r>
              <a:rPr lang="en-US">
                <a:solidFill>
                  <a:srgbClr val="0033CC"/>
                </a:solidFill>
              </a:rPr>
              <a:t>Liabailites and Equity for</a:t>
            </a:r>
            <a:r>
              <a:rPr lang="en-US" baseline="0">
                <a:solidFill>
                  <a:srgbClr val="0033CC"/>
                </a:solidFill>
              </a:rPr>
              <a:t> Lasco Manufacturing Limited</a:t>
            </a:r>
            <a:r>
              <a:rPr lang="en-US">
                <a:solidFill>
                  <a:srgbClr val="0033CC"/>
                </a:solidFill>
              </a:rPr>
              <a:t> during</a:t>
            </a:r>
            <a:r>
              <a:rPr lang="en-US" baseline="0">
                <a:solidFill>
                  <a:srgbClr val="0033CC"/>
                </a:solidFill>
              </a:rPr>
              <a:t> </a:t>
            </a:r>
            <a:r>
              <a:rPr lang="en-US">
                <a:solidFill>
                  <a:srgbClr val="0033CC"/>
                </a:solidFill>
              </a:rPr>
              <a:t>March 2019 to 2020</a:t>
            </a:r>
          </a:p>
        </c:rich>
      </c:tx>
      <c:overlay val="0"/>
    </c:title>
    <c:autoTitleDeleted val="0"/>
    <c:plotArea>
      <c:layout/>
      <c:barChart>
        <c:barDir val="col"/>
        <c:grouping val="clustered"/>
        <c:varyColors val="0"/>
        <c:ser>
          <c:idx val="1"/>
          <c:order val="0"/>
          <c:tx>
            <c:strRef>
              <c:f>'Table of total AS,LIA, ENQ'!$B$7</c:f>
              <c:strCache>
                <c:ptCount val="1"/>
                <c:pt idx="0">
                  <c:v>Total Assets</c:v>
                </c:pt>
              </c:strCache>
            </c:strRef>
          </c:tx>
          <c:invertIfNegative val="0"/>
          <c:cat>
            <c:numRef>
              <c:f>'Table of total AS,LIA, ENQ'!$A$8:$A$9</c:f>
              <c:numCache>
                <c:formatCode>General</c:formatCode>
                <c:ptCount val="2"/>
                <c:pt idx="0">
                  <c:v>2019</c:v>
                </c:pt>
                <c:pt idx="1">
                  <c:v>2020</c:v>
                </c:pt>
              </c:numCache>
            </c:numRef>
          </c:cat>
          <c:val>
            <c:numRef>
              <c:f>'Table of total AS,LIA, ENQ'!$B$8:$B$9</c:f>
              <c:numCache>
                <c:formatCode>_("$"* #,##0.00_);_("$"* \(#,##0.00\);_("$"* "-"??_);_(@_)</c:formatCode>
                <c:ptCount val="2"/>
                <c:pt idx="0">
                  <c:v>8788805</c:v>
                </c:pt>
                <c:pt idx="1">
                  <c:v>9738150</c:v>
                </c:pt>
              </c:numCache>
            </c:numRef>
          </c:val>
        </c:ser>
        <c:ser>
          <c:idx val="2"/>
          <c:order val="1"/>
          <c:tx>
            <c:strRef>
              <c:f>'Table of total AS,LIA, ENQ'!$C$7</c:f>
              <c:strCache>
                <c:ptCount val="1"/>
                <c:pt idx="0">
                  <c:v>Total Liabilities</c:v>
                </c:pt>
              </c:strCache>
            </c:strRef>
          </c:tx>
          <c:invertIfNegative val="0"/>
          <c:cat>
            <c:numRef>
              <c:f>'Table of total AS,LIA, ENQ'!$A$8:$A$9</c:f>
              <c:numCache>
                <c:formatCode>General</c:formatCode>
                <c:ptCount val="2"/>
                <c:pt idx="0">
                  <c:v>2019</c:v>
                </c:pt>
                <c:pt idx="1">
                  <c:v>2020</c:v>
                </c:pt>
              </c:numCache>
            </c:numRef>
          </c:cat>
          <c:val>
            <c:numRef>
              <c:f>'Table of total AS,LIA, ENQ'!$C$8:$C$9</c:f>
              <c:numCache>
                <c:formatCode>_("$"* #,##0.00_);_("$"* \(#,##0.00\);_("$"* "-"??_);_(@_)</c:formatCode>
                <c:ptCount val="2"/>
                <c:pt idx="0">
                  <c:v>2942991</c:v>
                </c:pt>
                <c:pt idx="1">
                  <c:v>2987085</c:v>
                </c:pt>
              </c:numCache>
            </c:numRef>
          </c:val>
        </c:ser>
        <c:ser>
          <c:idx val="3"/>
          <c:order val="2"/>
          <c:tx>
            <c:strRef>
              <c:f>'Table of total AS,LIA, ENQ'!$D$7</c:f>
              <c:strCache>
                <c:ptCount val="1"/>
                <c:pt idx="0">
                  <c:v>Total Equity</c:v>
                </c:pt>
              </c:strCache>
            </c:strRef>
          </c:tx>
          <c:invertIfNegative val="0"/>
          <c:cat>
            <c:numRef>
              <c:f>'Table of total AS,LIA, ENQ'!$A$8:$A$9</c:f>
              <c:numCache>
                <c:formatCode>General</c:formatCode>
                <c:ptCount val="2"/>
                <c:pt idx="0">
                  <c:v>2019</c:v>
                </c:pt>
                <c:pt idx="1">
                  <c:v>2020</c:v>
                </c:pt>
              </c:numCache>
            </c:numRef>
          </c:cat>
          <c:val>
            <c:numRef>
              <c:f>'Table of total AS,LIA, ENQ'!$D$8:$D$9</c:f>
              <c:numCache>
                <c:formatCode>_("$"* #,##0.00_);_("$"* \(#,##0.00\);_("$"* "-"??_);_(@_)</c:formatCode>
                <c:ptCount val="2"/>
                <c:pt idx="0">
                  <c:v>5845814</c:v>
                </c:pt>
                <c:pt idx="1">
                  <c:v>6751065</c:v>
                </c:pt>
              </c:numCache>
            </c:numRef>
          </c:val>
        </c:ser>
        <c:dLbls>
          <c:showLegendKey val="0"/>
          <c:showVal val="0"/>
          <c:showCatName val="0"/>
          <c:showSerName val="0"/>
          <c:showPercent val="0"/>
          <c:showBubbleSize val="0"/>
        </c:dLbls>
        <c:gapWidth val="150"/>
        <c:axId val="118402432"/>
        <c:axId val="77972608"/>
      </c:barChart>
      <c:catAx>
        <c:axId val="118402432"/>
        <c:scaling>
          <c:orientation val="minMax"/>
        </c:scaling>
        <c:delete val="0"/>
        <c:axPos val="b"/>
        <c:numFmt formatCode="General" sourceLinked="1"/>
        <c:majorTickMark val="out"/>
        <c:minorTickMark val="none"/>
        <c:tickLblPos val="nextTo"/>
        <c:txPr>
          <a:bodyPr/>
          <a:lstStyle/>
          <a:p>
            <a:pPr>
              <a:defRPr sz="1100" b="1">
                <a:solidFill>
                  <a:srgbClr val="FFFF00"/>
                </a:solidFill>
              </a:defRPr>
            </a:pPr>
            <a:endParaRPr lang="en-US"/>
          </a:p>
        </c:txPr>
        <c:crossAx val="77972608"/>
        <c:crosses val="autoZero"/>
        <c:auto val="1"/>
        <c:lblAlgn val="ctr"/>
        <c:lblOffset val="100"/>
        <c:noMultiLvlLbl val="0"/>
      </c:catAx>
      <c:valAx>
        <c:axId val="77972608"/>
        <c:scaling>
          <c:orientation val="minMax"/>
        </c:scaling>
        <c:delete val="0"/>
        <c:axPos val="l"/>
        <c:majorGridlines>
          <c:spPr>
            <a:ln>
              <a:solidFill>
                <a:schemeClr val="tx1"/>
              </a:solidFill>
            </a:ln>
          </c:spPr>
        </c:majorGridlines>
        <c:title>
          <c:tx>
            <c:rich>
              <a:bodyPr rot="-5400000" vert="horz"/>
              <a:lstStyle/>
              <a:p>
                <a:pPr>
                  <a:defRPr sz="1050"/>
                </a:pPr>
                <a:r>
                  <a:rPr lang="en-US" sz="1050">
                    <a:solidFill>
                      <a:srgbClr val="99FF66"/>
                    </a:solidFill>
                  </a:rPr>
                  <a:t>Amount</a:t>
                </a:r>
                <a:r>
                  <a:rPr lang="en-US" sz="1050" baseline="0">
                    <a:solidFill>
                      <a:srgbClr val="99FF66"/>
                    </a:solidFill>
                  </a:rPr>
                  <a:t> of Money</a:t>
                </a:r>
                <a:endParaRPr lang="en-US" sz="1050">
                  <a:solidFill>
                    <a:srgbClr val="99FF66"/>
                  </a:solidFill>
                </a:endParaRPr>
              </a:p>
            </c:rich>
          </c:tx>
          <c:overlay val="0"/>
        </c:title>
        <c:numFmt formatCode="&quot;$&quot;#,##0.00" sourceLinked="0"/>
        <c:majorTickMark val="out"/>
        <c:minorTickMark val="none"/>
        <c:tickLblPos val="nextTo"/>
        <c:txPr>
          <a:bodyPr/>
          <a:lstStyle/>
          <a:p>
            <a:pPr>
              <a:defRPr b="1" i="1"/>
            </a:pPr>
            <a:endParaRPr lang="en-US"/>
          </a:p>
        </c:txPr>
        <c:crossAx val="118402432"/>
        <c:crosses val="autoZero"/>
        <c:crossBetween val="between"/>
      </c:valAx>
      <c:spPr>
        <a:solidFill>
          <a:schemeClr val="bg2">
            <a:lumMod val="90000"/>
          </a:schemeClr>
        </a:solidFill>
      </c:spPr>
    </c:plotArea>
    <c:legend>
      <c:legendPos val="r"/>
      <c:overlay val="0"/>
      <c:txPr>
        <a:bodyPr/>
        <a:lstStyle/>
        <a:p>
          <a:pPr>
            <a:defRPr sz="1000" b="1" i="0"/>
          </a:pPr>
          <a:endParaRPr lang="en-US"/>
        </a:p>
      </c:txPr>
    </c:legend>
    <c:plotVisOnly val="1"/>
    <c:dispBlanksAs val="gap"/>
    <c:showDLblsOverMax val="0"/>
  </c:chart>
  <c:spPr>
    <a:solidFill>
      <a:srgbClr val="00B0F0"/>
    </a:solidFill>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lgn="ctr" rtl="0">
              <a:defRPr/>
            </a:pPr>
            <a:r>
              <a:rPr lang="en-US" i="1"/>
              <a:t>Return on Capital Ratio of Lasco</a:t>
            </a:r>
            <a:r>
              <a:rPr lang="en-US" i="1" baseline="0"/>
              <a:t> Manufacturing Limited</a:t>
            </a:r>
            <a:r>
              <a:rPr lang="en-US" i="1"/>
              <a:t> for March 2019 to 2020</a:t>
            </a:r>
          </a:p>
        </c:rich>
      </c:tx>
      <c:overlay val="0"/>
    </c:title>
    <c:autoTitleDeleted val="0"/>
    <c:plotArea>
      <c:layout/>
      <c:barChart>
        <c:barDir val="bar"/>
        <c:grouping val="clustered"/>
        <c:varyColors val="0"/>
        <c:ser>
          <c:idx val="0"/>
          <c:order val="0"/>
          <c:tx>
            <c:strRef>
              <c:f>'Return on Capital'!$C$5</c:f>
              <c:strCache>
                <c:ptCount val="1"/>
                <c:pt idx="0">
                  <c:v>2020</c:v>
                </c:pt>
              </c:strCache>
            </c:strRef>
          </c:tx>
          <c:spPr>
            <a:solidFill>
              <a:srgbClr val="993300"/>
            </a:solidFill>
          </c:spPr>
          <c:invertIfNegative val="0"/>
          <c:dLbls>
            <c:txPr>
              <a:bodyPr/>
              <a:lstStyle/>
              <a:p>
                <a:pPr>
                  <a:defRPr b="1">
                    <a:solidFill>
                      <a:srgbClr val="C00000"/>
                    </a:solidFill>
                  </a:defRPr>
                </a:pPr>
                <a:endParaRPr lang="en-US"/>
              </a:p>
            </c:txPr>
            <c:showLegendKey val="0"/>
            <c:showVal val="1"/>
            <c:showCatName val="0"/>
            <c:showSerName val="0"/>
            <c:showPercent val="0"/>
            <c:showBubbleSize val="0"/>
            <c:showLeaderLines val="0"/>
          </c:dLbls>
          <c:val>
            <c:numRef>
              <c:f>'Return on Capital'!$C$6</c:f>
              <c:numCache>
                <c:formatCode>0%</c:formatCode>
                <c:ptCount val="1"/>
                <c:pt idx="0">
                  <c:v>0.15</c:v>
                </c:pt>
              </c:numCache>
            </c:numRef>
          </c:val>
        </c:ser>
        <c:ser>
          <c:idx val="1"/>
          <c:order val="1"/>
          <c:tx>
            <c:strRef>
              <c:f>'Return on Capital'!$D$5</c:f>
              <c:strCache>
                <c:ptCount val="1"/>
                <c:pt idx="0">
                  <c:v>2019</c:v>
                </c:pt>
              </c:strCache>
            </c:strRef>
          </c:tx>
          <c:spPr>
            <a:solidFill>
              <a:srgbClr val="00B050"/>
            </a:solidFill>
          </c:spPr>
          <c:invertIfNegative val="0"/>
          <c:dLbls>
            <c:txPr>
              <a:bodyPr/>
              <a:lstStyle/>
              <a:p>
                <a:pPr>
                  <a:defRPr b="1">
                    <a:solidFill>
                      <a:srgbClr val="00B050"/>
                    </a:solidFill>
                  </a:defRPr>
                </a:pPr>
                <a:endParaRPr lang="en-US"/>
              </a:p>
            </c:txPr>
            <c:showLegendKey val="0"/>
            <c:showVal val="1"/>
            <c:showCatName val="0"/>
            <c:showSerName val="0"/>
            <c:showPercent val="0"/>
            <c:showBubbleSize val="0"/>
            <c:showLeaderLines val="0"/>
          </c:dLbls>
          <c:val>
            <c:numRef>
              <c:f>'Return on Capital'!$D$6</c:f>
              <c:numCache>
                <c:formatCode>0%</c:formatCode>
                <c:ptCount val="1"/>
                <c:pt idx="0">
                  <c:v>0.18</c:v>
                </c:pt>
              </c:numCache>
            </c:numRef>
          </c:val>
        </c:ser>
        <c:dLbls>
          <c:showLegendKey val="0"/>
          <c:showVal val="0"/>
          <c:showCatName val="0"/>
          <c:showSerName val="0"/>
          <c:showPercent val="0"/>
          <c:showBubbleSize val="0"/>
        </c:dLbls>
        <c:gapWidth val="150"/>
        <c:axId val="77966336"/>
        <c:axId val="77968128"/>
      </c:barChart>
      <c:catAx>
        <c:axId val="77966336"/>
        <c:scaling>
          <c:orientation val="minMax"/>
        </c:scaling>
        <c:delete val="1"/>
        <c:axPos val="l"/>
        <c:majorTickMark val="out"/>
        <c:minorTickMark val="none"/>
        <c:tickLblPos val="nextTo"/>
        <c:crossAx val="77968128"/>
        <c:crosses val="autoZero"/>
        <c:auto val="1"/>
        <c:lblAlgn val="ctr"/>
        <c:lblOffset val="100"/>
        <c:noMultiLvlLbl val="0"/>
      </c:catAx>
      <c:valAx>
        <c:axId val="77968128"/>
        <c:scaling>
          <c:orientation val="minMax"/>
        </c:scaling>
        <c:delete val="0"/>
        <c:axPos val="b"/>
        <c:majorGridlines>
          <c:spPr>
            <a:ln>
              <a:solidFill>
                <a:schemeClr val="bg2">
                  <a:lumMod val="75000"/>
                </a:schemeClr>
              </a:solidFill>
            </a:ln>
          </c:spPr>
        </c:majorGridlines>
        <c:title>
          <c:tx>
            <c:rich>
              <a:bodyPr/>
              <a:lstStyle/>
              <a:p>
                <a:pPr>
                  <a:defRPr>
                    <a:solidFill>
                      <a:srgbClr val="FFFF00"/>
                    </a:solidFill>
                  </a:defRPr>
                </a:pPr>
                <a:r>
                  <a:rPr lang="en-US">
                    <a:solidFill>
                      <a:srgbClr val="FFFF00"/>
                    </a:solidFill>
                  </a:rPr>
                  <a:t>Percentages</a:t>
                </a:r>
              </a:p>
            </c:rich>
          </c:tx>
          <c:overlay val="0"/>
        </c:title>
        <c:numFmt formatCode="0%" sourceLinked="1"/>
        <c:majorTickMark val="out"/>
        <c:minorTickMark val="none"/>
        <c:tickLblPos val="nextTo"/>
        <c:txPr>
          <a:bodyPr/>
          <a:lstStyle/>
          <a:p>
            <a:pPr>
              <a:defRPr sz="1050" b="1">
                <a:solidFill>
                  <a:srgbClr val="00B050"/>
                </a:solidFill>
              </a:defRPr>
            </a:pPr>
            <a:endParaRPr lang="en-US"/>
          </a:p>
        </c:txPr>
        <c:crossAx val="77966336"/>
        <c:crosses val="autoZero"/>
        <c:crossBetween val="between"/>
      </c:valAx>
      <c:spPr>
        <a:solidFill>
          <a:schemeClr val="bg2">
            <a:lumMod val="75000"/>
          </a:schemeClr>
        </a:solidFill>
      </c:spPr>
    </c:plotArea>
    <c:legend>
      <c:legendPos val="r"/>
      <c:overlay val="0"/>
      <c:txPr>
        <a:bodyPr/>
        <a:lstStyle/>
        <a:p>
          <a:pPr>
            <a:defRPr sz="1050" b="1">
              <a:solidFill>
                <a:schemeClr val="accent6">
                  <a:lumMod val="75000"/>
                </a:schemeClr>
              </a:solidFill>
            </a:defRPr>
          </a:pPr>
          <a:endParaRPr lang="en-US"/>
        </a:p>
      </c:txPr>
    </c:legend>
    <c:plotVisOnly val="1"/>
    <c:dispBlanksAs val="gap"/>
    <c:showDLblsOverMax val="0"/>
  </c:chart>
  <c:spPr>
    <a:solidFill>
      <a:schemeClr val="accent1">
        <a:lumMod val="50000"/>
      </a:schemeClr>
    </a:solidFill>
  </c:spPr>
  <c:txPr>
    <a:bodyPr/>
    <a:lstStyle/>
    <a:p>
      <a:pPr>
        <a:defRPr>
          <a:solidFill>
            <a:schemeClr val="tx2">
              <a:lumMod val="60000"/>
              <a:lumOff val="40000"/>
            </a:schemeClr>
          </a:solidFill>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en-US" i="1">
                <a:solidFill>
                  <a:srgbClr val="0033CC"/>
                </a:solidFill>
              </a:rPr>
              <a:t>Net</a:t>
            </a:r>
            <a:r>
              <a:rPr lang="en-US" i="1" baseline="0">
                <a:solidFill>
                  <a:srgbClr val="0033CC"/>
                </a:solidFill>
              </a:rPr>
              <a:t> Profit Margin of Lasco Manufacturing Limited for March 2019 to 2020</a:t>
            </a:r>
            <a:endParaRPr lang="en-US" i="1">
              <a:solidFill>
                <a:srgbClr val="0033CC"/>
              </a:solidFill>
            </a:endParaRPr>
          </a:p>
        </c:rich>
      </c:tx>
      <c:layout>
        <c:manualLayout>
          <c:xMode val="edge"/>
          <c:yMode val="edge"/>
          <c:x val="0.10476543209876543"/>
          <c:y val="0"/>
        </c:manualLayout>
      </c:layout>
      <c:overlay val="0"/>
    </c:title>
    <c:autoTitleDeleted val="0"/>
    <c:plotArea>
      <c:layout>
        <c:manualLayout>
          <c:layoutTarget val="inner"/>
          <c:xMode val="edge"/>
          <c:yMode val="edge"/>
          <c:x val="0.10491952460615553"/>
          <c:y val="0.18031118976796975"/>
          <c:w val="0.85974479290229489"/>
          <c:h val="0.59257427288148368"/>
        </c:manualLayout>
      </c:layout>
      <c:barChart>
        <c:barDir val="col"/>
        <c:grouping val="clustered"/>
        <c:varyColors val="0"/>
        <c:ser>
          <c:idx val="0"/>
          <c:order val="0"/>
          <c:tx>
            <c:strRef>
              <c:f>'Net Profit Margin'!$B$2</c:f>
              <c:strCache>
                <c:ptCount val="1"/>
                <c:pt idx="0">
                  <c:v>2019</c:v>
                </c:pt>
              </c:strCache>
            </c:strRef>
          </c:tx>
          <c:invertIfNegative val="0"/>
          <c:dLbls>
            <c:dLbl>
              <c:idx val="0"/>
              <c:tx>
                <c:rich>
                  <a:bodyPr/>
                  <a:lstStyle/>
                  <a:p>
                    <a:r>
                      <a:rPr lang="en-US">
                        <a:solidFill>
                          <a:srgbClr val="0033CC"/>
                        </a:solidFill>
                      </a:rPr>
                      <a:t>14%</a:t>
                    </a:r>
                  </a:p>
                </c:rich>
              </c:tx>
              <c:showLegendKey val="0"/>
              <c:showVal val="1"/>
              <c:showCatName val="0"/>
              <c:showSerName val="0"/>
              <c:showPercent val="0"/>
              <c:showBubbleSize val="0"/>
            </c:dLbl>
            <c:txPr>
              <a:bodyPr/>
              <a:lstStyle/>
              <a:p>
                <a:pPr>
                  <a:defRPr b="1"/>
                </a:pPr>
                <a:endParaRPr lang="en-US"/>
              </a:p>
            </c:txPr>
            <c:showLegendKey val="0"/>
            <c:showVal val="1"/>
            <c:showCatName val="0"/>
            <c:showSerName val="0"/>
            <c:showPercent val="0"/>
            <c:showBubbleSize val="0"/>
            <c:showLeaderLines val="0"/>
          </c:dLbls>
          <c:val>
            <c:numRef>
              <c:f>'Net Profit Margin'!$B$3</c:f>
              <c:numCache>
                <c:formatCode>0%</c:formatCode>
                <c:ptCount val="1"/>
                <c:pt idx="0">
                  <c:v>0.14000000000000001</c:v>
                </c:pt>
              </c:numCache>
            </c:numRef>
          </c:val>
        </c:ser>
        <c:ser>
          <c:idx val="1"/>
          <c:order val="1"/>
          <c:tx>
            <c:strRef>
              <c:f>'Net Profit Margin'!$C$2</c:f>
              <c:strCache>
                <c:ptCount val="1"/>
                <c:pt idx="0">
                  <c:v>2020</c:v>
                </c:pt>
              </c:strCache>
            </c:strRef>
          </c:tx>
          <c:invertIfNegative val="0"/>
          <c:dLbls>
            <c:txPr>
              <a:bodyPr/>
              <a:lstStyle/>
              <a:p>
                <a:pPr>
                  <a:defRPr b="1">
                    <a:solidFill>
                      <a:srgbClr val="C00000"/>
                    </a:solidFill>
                  </a:defRPr>
                </a:pPr>
                <a:endParaRPr lang="en-US"/>
              </a:p>
            </c:txPr>
            <c:showLegendKey val="0"/>
            <c:showVal val="1"/>
            <c:showCatName val="0"/>
            <c:showSerName val="0"/>
            <c:showPercent val="0"/>
            <c:showBubbleSize val="0"/>
            <c:showLeaderLines val="0"/>
          </c:dLbls>
          <c:val>
            <c:numRef>
              <c:f>'Net Profit Margin'!$C$3</c:f>
              <c:numCache>
                <c:formatCode>0%</c:formatCode>
                <c:ptCount val="1"/>
                <c:pt idx="0">
                  <c:v>0.12</c:v>
                </c:pt>
              </c:numCache>
            </c:numRef>
          </c:val>
        </c:ser>
        <c:dLbls>
          <c:showLegendKey val="0"/>
          <c:showVal val="1"/>
          <c:showCatName val="0"/>
          <c:showSerName val="0"/>
          <c:showPercent val="0"/>
          <c:showBubbleSize val="0"/>
        </c:dLbls>
        <c:gapWidth val="75"/>
        <c:axId val="81353344"/>
        <c:axId val="81371904"/>
      </c:barChart>
      <c:catAx>
        <c:axId val="81353344"/>
        <c:scaling>
          <c:orientation val="minMax"/>
        </c:scaling>
        <c:delete val="0"/>
        <c:axPos val="b"/>
        <c:title>
          <c:tx>
            <c:rich>
              <a:bodyPr/>
              <a:lstStyle/>
              <a:p>
                <a:pPr>
                  <a:defRPr/>
                </a:pPr>
                <a:r>
                  <a:rPr lang="en-US" sz="1100"/>
                  <a:t>Years</a:t>
                </a:r>
                <a:endParaRPr lang="en-US"/>
              </a:p>
            </c:rich>
          </c:tx>
          <c:layout>
            <c:manualLayout>
              <c:xMode val="edge"/>
              <c:yMode val="edge"/>
              <c:x val="0.49122886745335087"/>
              <c:y val="0.8058948159729471"/>
            </c:manualLayout>
          </c:layout>
          <c:overlay val="0"/>
        </c:title>
        <c:majorTickMark val="none"/>
        <c:minorTickMark val="none"/>
        <c:tickLblPos val="none"/>
        <c:txPr>
          <a:bodyPr/>
          <a:lstStyle/>
          <a:p>
            <a:pPr>
              <a:defRPr sz="1100" b="1" i="1"/>
            </a:pPr>
            <a:endParaRPr lang="en-US"/>
          </a:p>
        </c:txPr>
        <c:crossAx val="81371904"/>
        <c:crosses val="autoZero"/>
        <c:auto val="1"/>
        <c:lblAlgn val="ctr"/>
        <c:lblOffset val="100"/>
        <c:noMultiLvlLbl val="0"/>
      </c:catAx>
      <c:valAx>
        <c:axId val="81371904"/>
        <c:scaling>
          <c:orientation val="minMax"/>
        </c:scaling>
        <c:delete val="0"/>
        <c:axPos val="l"/>
        <c:majorGridlines>
          <c:spPr>
            <a:ln>
              <a:solidFill>
                <a:schemeClr val="accent1"/>
              </a:solidFill>
            </a:ln>
          </c:spPr>
        </c:majorGridlines>
        <c:title>
          <c:tx>
            <c:rich>
              <a:bodyPr rot="-5400000" vert="horz"/>
              <a:lstStyle/>
              <a:p>
                <a:pPr>
                  <a:defRPr/>
                </a:pPr>
                <a:r>
                  <a:rPr lang="en-US">
                    <a:solidFill>
                      <a:srgbClr val="FFFF00"/>
                    </a:solidFill>
                  </a:rPr>
                  <a:t>Percentages</a:t>
                </a:r>
              </a:p>
            </c:rich>
          </c:tx>
          <c:layout>
            <c:manualLayout>
              <c:xMode val="edge"/>
              <c:yMode val="edge"/>
              <c:x val="0"/>
              <c:y val="0.36841559144359753"/>
            </c:manualLayout>
          </c:layout>
          <c:overlay val="0"/>
        </c:title>
        <c:numFmt formatCode="0%" sourceLinked="1"/>
        <c:majorTickMark val="none"/>
        <c:minorTickMark val="none"/>
        <c:tickLblPos val="nextTo"/>
        <c:txPr>
          <a:bodyPr/>
          <a:lstStyle/>
          <a:p>
            <a:pPr>
              <a:defRPr sz="1000" b="1">
                <a:solidFill>
                  <a:srgbClr val="99FF66"/>
                </a:solidFill>
              </a:defRPr>
            </a:pPr>
            <a:endParaRPr lang="en-US"/>
          </a:p>
        </c:txPr>
        <c:crossAx val="81353344"/>
        <c:crosses val="autoZero"/>
        <c:crossBetween val="between"/>
      </c:valAx>
      <c:spPr>
        <a:solidFill>
          <a:schemeClr val="bg2">
            <a:lumMod val="90000"/>
          </a:schemeClr>
        </a:solidFill>
      </c:spPr>
    </c:plotArea>
    <c:legend>
      <c:legendPos val="b"/>
      <c:legendEntry>
        <c:idx val="0"/>
        <c:txPr>
          <a:bodyPr/>
          <a:lstStyle/>
          <a:p>
            <a:pPr>
              <a:defRPr sz="1200" b="1">
                <a:solidFill>
                  <a:schemeClr val="bg1"/>
                </a:solidFill>
              </a:defRPr>
            </a:pPr>
            <a:endParaRPr lang="en-US"/>
          </a:p>
        </c:txPr>
      </c:legendEntry>
      <c:legendEntry>
        <c:idx val="1"/>
        <c:txPr>
          <a:bodyPr/>
          <a:lstStyle/>
          <a:p>
            <a:pPr>
              <a:defRPr sz="1200" b="1">
                <a:solidFill>
                  <a:schemeClr val="bg2"/>
                </a:solidFill>
              </a:defRPr>
            </a:pPr>
            <a:endParaRPr lang="en-US"/>
          </a:p>
        </c:txPr>
      </c:legendEntry>
      <c:layout>
        <c:manualLayout>
          <c:xMode val="edge"/>
          <c:yMode val="edge"/>
          <c:x val="0.39397876260561054"/>
          <c:y val="0.86587539798608781"/>
          <c:w val="0.21204247478877888"/>
          <c:h val="7.9702816648781136E-2"/>
        </c:manualLayout>
      </c:layout>
      <c:overlay val="0"/>
      <c:txPr>
        <a:bodyPr/>
        <a:lstStyle/>
        <a:p>
          <a:pPr>
            <a:defRPr sz="1200" b="1"/>
          </a:pPr>
          <a:endParaRPr lang="en-US"/>
        </a:p>
      </c:txPr>
    </c:legend>
    <c:plotVisOnly val="1"/>
    <c:dispBlanksAs val="gap"/>
    <c:showDLblsOverMax val="0"/>
  </c:chart>
  <c:spPr>
    <a:solidFill>
      <a:srgbClr val="00B0F0"/>
    </a:solidFill>
  </c:spPr>
  <c:externalData r:id="rId2">
    <c:autoUpdate val="0"/>
  </c:externalData>
  <c:userShapes r:id="rId3"/>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a:pPr>
            <a:r>
              <a:rPr lang="en-US" i="1" baseline="0">
                <a:solidFill>
                  <a:srgbClr val="00B050"/>
                </a:solidFill>
              </a:rPr>
              <a:t>Inventory Turnover of Lasco Manufacturing Limited for March 2019 to 2020</a:t>
            </a:r>
            <a:endParaRPr lang="en-US" i="1">
              <a:solidFill>
                <a:srgbClr val="00B050"/>
              </a:solidFill>
            </a:endParaRPr>
          </a:p>
        </c:rich>
      </c:tx>
      <c:overlay val="0"/>
    </c:title>
    <c:autoTitleDeleted val="0"/>
    <c:plotArea>
      <c:layout/>
      <c:barChart>
        <c:barDir val="col"/>
        <c:grouping val="clustered"/>
        <c:varyColors val="0"/>
        <c:ser>
          <c:idx val="0"/>
          <c:order val="0"/>
          <c:tx>
            <c:strRef>
              <c:f>'Efficiency Ratio'!$C$3</c:f>
              <c:strCache>
                <c:ptCount val="1"/>
                <c:pt idx="0">
                  <c:v>2019</c:v>
                </c:pt>
              </c:strCache>
            </c:strRef>
          </c:tx>
          <c:spPr>
            <a:solidFill>
              <a:schemeClr val="accent6">
                <a:lumMod val="75000"/>
              </a:schemeClr>
            </a:solidFill>
          </c:spPr>
          <c:invertIfNegative val="0"/>
          <c:dLbls>
            <c:dLbl>
              <c:idx val="0"/>
              <c:layout>
                <c:manualLayout>
                  <c:x val="0"/>
                  <c:y val="0.16666630212890055"/>
                </c:manualLayout>
              </c:layout>
              <c:tx>
                <c:rich>
                  <a:bodyPr/>
                  <a:lstStyle/>
                  <a:p>
                    <a:r>
                      <a:rPr lang="en-US" b="1"/>
                      <a:t>4.13 times</a:t>
                    </a:r>
                  </a:p>
                </c:rich>
              </c:tx>
              <c:showLegendKey val="0"/>
              <c:showVal val="1"/>
              <c:showCatName val="0"/>
              <c:showSerName val="0"/>
              <c:showPercent val="0"/>
              <c:showBubbleSize val="0"/>
            </c:dLbl>
            <c:spPr>
              <a:solidFill>
                <a:srgbClr val="99FF66"/>
              </a:solidFill>
            </c:spPr>
            <c:showLegendKey val="0"/>
            <c:showVal val="1"/>
            <c:showCatName val="0"/>
            <c:showSerName val="0"/>
            <c:showPercent val="0"/>
            <c:showBubbleSize val="0"/>
            <c:showLeaderLines val="0"/>
          </c:dLbls>
          <c:val>
            <c:numRef>
              <c:f>'Efficiency Ratio'!$C$4</c:f>
              <c:numCache>
                <c:formatCode>General</c:formatCode>
                <c:ptCount val="1"/>
                <c:pt idx="0">
                  <c:v>4.13</c:v>
                </c:pt>
              </c:numCache>
            </c:numRef>
          </c:val>
        </c:ser>
        <c:ser>
          <c:idx val="1"/>
          <c:order val="1"/>
          <c:tx>
            <c:strRef>
              <c:f>'Efficiency Ratio'!$D$3</c:f>
              <c:strCache>
                <c:ptCount val="1"/>
                <c:pt idx="0">
                  <c:v>2020</c:v>
                </c:pt>
              </c:strCache>
            </c:strRef>
          </c:tx>
          <c:spPr>
            <a:solidFill>
              <a:srgbClr val="339933"/>
            </a:solidFill>
          </c:spPr>
          <c:invertIfNegative val="0"/>
          <c:dLbls>
            <c:dLbl>
              <c:idx val="0"/>
              <c:layout>
                <c:manualLayout>
                  <c:x val="5.5555043923603119E-3"/>
                  <c:y val="0.52027183994110016"/>
                </c:manualLayout>
              </c:layout>
              <c:tx>
                <c:rich>
                  <a:bodyPr/>
                  <a:lstStyle/>
                  <a:p>
                    <a:r>
                      <a:rPr lang="en-US" b="1"/>
                      <a:t>4.25 times</a:t>
                    </a:r>
                  </a:p>
                </c:rich>
              </c:tx>
              <c:showLegendKey val="0"/>
              <c:showVal val="1"/>
              <c:showCatName val="0"/>
              <c:showSerName val="0"/>
              <c:showPercent val="0"/>
              <c:showBubbleSize val="0"/>
            </c:dLbl>
            <c:spPr>
              <a:solidFill>
                <a:srgbClr val="99FF66"/>
              </a:solidFill>
            </c:spPr>
            <c:showLegendKey val="0"/>
            <c:showVal val="1"/>
            <c:showCatName val="0"/>
            <c:showSerName val="0"/>
            <c:showPercent val="0"/>
            <c:showBubbleSize val="0"/>
            <c:showLeaderLines val="0"/>
          </c:dLbls>
          <c:val>
            <c:numRef>
              <c:f>'Efficiency Ratio'!$D$4</c:f>
              <c:numCache>
                <c:formatCode>General</c:formatCode>
                <c:ptCount val="1"/>
                <c:pt idx="0">
                  <c:v>4.25</c:v>
                </c:pt>
              </c:numCache>
            </c:numRef>
          </c:val>
        </c:ser>
        <c:dLbls>
          <c:showLegendKey val="0"/>
          <c:showVal val="1"/>
          <c:showCatName val="0"/>
          <c:showSerName val="0"/>
          <c:showPercent val="0"/>
          <c:showBubbleSize val="0"/>
        </c:dLbls>
        <c:gapWidth val="75"/>
        <c:axId val="82055168"/>
        <c:axId val="82056704"/>
      </c:barChart>
      <c:catAx>
        <c:axId val="82055168"/>
        <c:scaling>
          <c:orientation val="minMax"/>
        </c:scaling>
        <c:delete val="1"/>
        <c:axPos val="b"/>
        <c:majorTickMark val="none"/>
        <c:minorTickMark val="none"/>
        <c:tickLblPos val="nextTo"/>
        <c:crossAx val="82056704"/>
        <c:crosses val="autoZero"/>
        <c:auto val="1"/>
        <c:lblAlgn val="ctr"/>
        <c:lblOffset val="100"/>
        <c:noMultiLvlLbl val="0"/>
      </c:catAx>
      <c:valAx>
        <c:axId val="82056704"/>
        <c:scaling>
          <c:orientation val="minMax"/>
        </c:scaling>
        <c:delete val="0"/>
        <c:axPos val="l"/>
        <c:majorGridlines>
          <c:spPr>
            <a:ln>
              <a:solidFill>
                <a:schemeClr val="tx1"/>
              </a:solidFill>
            </a:ln>
          </c:spPr>
        </c:majorGridlines>
        <c:title>
          <c:tx>
            <c:rich>
              <a:bodyPr rot="-5400000" vert="horz"/>
              <a:lstStyle/>
              <a:p>
                <a:pPr>
                  <a:defRPr>
                    <a:solidFill>
                      <a:schemeClr val="tx2">
                        <a:lumMod val="40000"/>
                        <a:lumOff val="60000"/>
                      </a:schemeClr>
                    </a:solidFill>
                  </a:defRPr>
                </a:pPr>
                <a:r>
                  <a:rPr lang="en-US">
                    <a:solidFill>
                      <a:schemeClr val="tx2">
                        <a:lumMod val="40000"/>
                        <a:lumOff val="60000"/>
                      </a:schemeClr>
                    </a:solidFill>
                  </a:rPr>
                  <a:t>Rate</a:t>
                </a:r>
                <a:r>
                  <a:rPr lang="en-US" baseline="0">
                    <a:solidFill>
                      <a:schemeClr val="tx2">
                        <a:lumMod val="40000"/>
                        <a:lumOff val="60000"/>
                      </a:schemeClr>
                    </a:solidFill>
                  </a:rPr>
                  <a:t> of stock turnover</a:t>
                </a:r>
                <a:endParaRPr lang="en-US">
                  <a:solidFill>
                    <a:schemeClr val="tx2">
                      <a:lumMod val="40000"/>
                      <a:lumOff val="60000"/>
                    </a:schemeClr>
                  </a:solidFill>
                </a:endParaRPr>
              </a:p>
            </c:rich>
          </c:tx>
          <c:overlay val="0"/>
        </c:title>
        <c:numFmt formatCode="General" sourceLinked="1"/>
        <c:majorTickMark val="none"/>
        <c:minorTickMark val="none"/>
        <c:tickLblPos val="nextTo"/>
        <c:txPr>
          <a:bodyPr/>
          <a:lstStyle/>
          <a:p>
            <a:pPr>
              <a:defRPr sz="1000" b="1">
                <a:solidFill>
                  <a:srgbClr val="FFC000"/>
                </a:solidFill>
              </a:defRPr>
            </a:pPr>
            <a:endParaRPr lang="en-US"/>
          </a:p>
        </c:txPr>
        <c:crossAx val="82055168"/>
        <c:crosses val="autoZero"/>
        <c:crossBetween val="between"/>
      </c:valAx>
      <c:spPr>
        <a:solidFill>
          <a:schemeClr val="bg1">
            <a:lumMod val="85000"/>
          </a:schemeClr>
        </a:solidFill>
      </c:spPr>
    </c:plotArea>
    <c:legend>
      <c:legendPos val="b"/>
      <c:overlay val="0"/>
      <c:txPr>
        <a:bodyPr/>
        <a:lstStyle/>
        <a:p>
          <a:pPr>
            <a:defRPr sz="1050" b="1">
              <a:solidFill>
                <a:schemeClr val="bg1"/>
              </a:solidFill>
            </a:defRPr>
          </a:pPr>
          <a:endParaRPr lang="en-US"/>
        </a:p>
      </c:txPr>
    </c:legend>
    <c:plotVisOnly val="1"/>
    <c:dispBlanksAs val="gap"/>
    <c:showDLblsOverMax val="0"/>
  </c:chart>
  <c:spPr>
    <a:solidFill>
      <a:schemeClr val="tx1"/>
    </a:solidFill>
  </c:spPr>
  <c:externalData r:id="rId2">
    <c:autoUpdate val="0"/>
  </c:externalData>
  <c:userShapes r:id="rId3"/>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i="1">
                <a:solidFill>
                  <a:schemeClr val="accent6">
                    <a:lumMod val="50000"/>
                  </a:schemeClr>
                </a:solidFill>
              </a:defRPr>
            </a:pPr>
            <a:r>
              <a:rPr lang="en-US" i="1">
                <a:solidFill>
                  <a:srgbClr val="FFFF00"/>
                </a:solidFill>
              </a:rPr>
              <a:t>Acid</a:t>
            </a:r>
            <a:r>
              <a:rPr lang="en-US" i="1" baseline="0">
                <a:solidFill>
                  <a:srgbClr val="FFFF00"/>
                </a:solidFill>
              </a:rPr>
              <a:t> Test Ratio for Lasco Manufacturing Limited from March 2019 to 2020</a:t>
            </a:r>
            <a:endParaRPr lang="en-US" i="1">
              <a:solidFill>
                <a:srgbClr val="FFFF00"/>
              </a:solidFill>
            </a:endParaRPr>
          </a:p>
        </c:rich>
      </c:tx>
      <c:overlay val="0"/>
    </c:title>
    <c:autoTitleDeleted val="0"/>
    <c:plotArea>
      <c:layout/>
      <c:barChart>
        <c:barDir val="col"/>
        <c:grouping val="clustered"/>
        <c:varyColors val="0"/>
        <c:ser>
          <c:idx val="0"/>
          <c:order val="0"/>
          <c:tx>
            <c:strRef>
              <c:f>'Acid Test Ratio'!$C$2</c:f>
              <c:strCache>
                <c:ptCount val="1"/>
                <c:pt idx="0">
                  <c:v>2019</c:v>
                </c:pt>
              </c:strCache>
            </c:strRef>
          </c:tx>
          <c:spPr>
            <a:solidFill>
              <a:srgbClr val="C00000"/>
            </a:solidFill>
          </c:spPr>
          <c:invertIfNegative val="0"/>
          <c:dLbls>
            <c:dLbl>
              <c:idx val="0"/>
              <c:layout>
                <c:manualLayout>
                  <c:x val="-4.0147937118694966E-7"/>
                  <c:y val="0.13663909474604113"/>
                </c:manualLayout>
              </c:layout>
              <c:tx>
                <c:rich>
                  <a:bodyPr/>
                  <a:lstStyle/>
                  <a:p>
                    <a:r>
                      <a:rPr lang="en-US" b="1"/>
                      <a:t>1.927</a:t>
                    </a:r>
                  </a:p>
                </c:rich>
              </c:tx>
              <c:showLegendKey val="0"/>
              <c:showVal val="1"/>
              <c:showCatName val="0"/>
              <c:showSerName val="0"/>
              <c:showPercent val="0"/>
              <c:showBubbleSize val="0"/>
            </c:dLbl>
            <c:spPr>
              <a:solidFill>
                <a:srgbClr val="FF3300"/>
              </a:solidFill>
            </c:spPr>
            <c:showLegendKey val="0"/>
            <c:showVal val="1"/>
            <c:showCatName val="0"/>
            <c:showSerName val="0"/>
            <c:showPercent val="0"/>
            <c:showBubbleSize val="0"/>
            <c:showLeaderLines val="0"/>
          </c:dLbls>
          <c:val>
            <c:numRef>
              <c:f>'Acid Test Ratio'!$C$3</c:f>
              <c:numCache>
                <c:formatCode>General</c:formatCode>
                <c:ptCount val="1"/>
                <c:pt idx="0">
                  <c:v>1.927</c:v>
                </c:pt>
              </c:numCache>
            </c:numRef>
          </c:val>
        </c:ser>
        <c:ser>
          <c:idx val="1"/>
          <c:order val="1"/>
          <c:tx>
            <c:strRef>
              <c:f>'Acid Test Ratio'!$D$2</c:f>
              <c:strCache>
                <c:ptCount val="1"/>
                <c:pt idx="0">
                  <c:v>2020</c:v>
                </c:pt>
              </c:strCache>
            </c:strRef>
          </c:tx>
          <c:spPr>
            <a:solidFill>
              <a:srgbClr val="0033CC"/>
            </a:solidFill>
          </c:spPr>
          <c:invertIfNegative val="0"/>
          <c:dLbls>
            <c:dLbl>
              <c:idx val="0"/>
              <c:layout>
                <c:manualLayout>
                  <c:x val="5.0987880140743545E-3"/>
                  <c:y val="0.31735496976552008"/>
                </c:manualLayout>
              </c:layout>
              <c:showLegendKey val="0"/>
              <c:showVal val="1"/>
              <c:showCatName val="0"/>
              <c:showSerName val="0"/>
              <c:showPercent val="0"/>
              <c:showBubbleSize val="0"/>
            </c:dLbl>
            <c:spPr>
              <a:solidFill>
                <a:schemeClr val="accent5">
                  <a:lumMod val="60000"/>
                  <a:lumOff val="40000"/>
                </a:schemeClr>
              </a:solidFill>
            </c:spPr>
            <c:txPr>
              <a:bodyPr/>
              <a:lstStyle/>
              <a:p>
                <a:pPr>
                  <a:defRPr sz="1050" b="1"/>
                </a:pPr>
                <a:endParaRPr lang="en-US"/>
              </a:p>
            </c:txPr>
            <c:showLegendKey val="0"/>
            <c:showVal val="1"/>
            <c:showCatName val="0"/>
            <c:showSerName val="0"/>
            <c:showPercent val="0"/>
            <c:showBubbleSize val="0"/>
            <c:showLeaderLines val="0"/>
          </c:dLbls>
          <c:val>
            <c:numRef>
              <c:f>'Acid Test Ratio'!$D$3</c:f>
              <c:numCache>
                <c:formatCode>General</c:formatCode>
                <c:ptCount val="1"/>
                <c:pt idx="0">
                  <c:v>1.966</c:v>
                </c:pt>
              </c:numCache>
            </c:numRef>
          </c:val>
        </c:ser>
        <c:dLbls>
          <c:showLegendKey val="0"/>
          <c:showVal val="1"/>
          <c:showCatName val="0"/>
          <c:showSerName val="0"/>
          <c:showPercent val="0"/>
          <c:showBubbleSize val="0"/>
        </c:dLbls>
        <c:gapWidth val="75"/>
        <c:axId val="82313216"/>
        <c:axId val="82314752"/>
      </c:barChart>
      <c:catAx>
        <c:axId val="82313216"/>
        <c:scaling>
          <c:orientation val="minMax"/>
        </c:scaling>
        <c:delete val="1"/>
        <c:axPos val="b"/>
        <c:majorTickMark val="none"/>
        <c:minorTickMark val="none"/>
        <c:tickLblPos val="nextTo"/>
        <c:crossAx val="82314752"/>
        <c:crosses val="autoZero"/>
        <c:auto val="1"/>
        <c:lblAlgn val="ctr"/>
        <c:lblOffset val="100"/>
        <c:noMultiLvlLbl val="0"/>
      </c:catAx>
      <c:valAx>
        <c:axId val="82314752"/>
        <c:scaling>
          <c:orientation val="minMax"/>
        </c:scaling>
        <c:delete val="0"/>
        <c:axPos val="l"/>
        <c:majorGridlines>
          <c:spPr>
            <a:ln>
              <a:solidFill>
                <a:schemeClr val="tx1"/>
              </a:solidFill>
            </a:ln>
          </c:spPr>
        </c:majorGridlines>
        <c:title>
          <c:tx>
            <c:rich>
              <a:bodyPr rot="-5400000" vert="horz"/>
              <a:lstStyle/>
              <a:p>
                <a:pPr>
                  <a:defRPr/>
                </a:pPr>
                <a:r>
                  <a:rPr lang="en-US" i="0"/>
                  <a:t>Rate</a:t>
                </a:r>
                <a:r>
                  <a:rPr lang="en-US" i="0" baseline="0"/>
                  <a:t> to cover debts</a:t>
                </a:r>
                <a:endParaRPr lang="en-US" i="0"/>
              </a:p>
            </c:rich>
          </c:tx>
          <c:overlay val="0"/>
        </c:title>
        <c:numFmt formatCode="General" sourceLinked="1"/>
        <c:majorTickMark val="none"/>
        <c:minorTickMark val="none"/>
        <c:tickLblPos val="nextTo"/>
        <c:txPr>
          <a:bodyPr/>
          <a:lstStyle/>
          <a:p>
            <a:pPr>
              <a:defRPr sz="1000" b="1"/>
            </a:pPr>
            <a:endParaRPr lang="en-US"/>
          </a:p>
        </c:txPr>
        <c:crossAx val="82313216"/>
        <c:crosses val="autoZero"/>
        <c:crossBetween val="between"/>
      </c:valAx>
      <c:spPr>
        <a:solidFill>
          <a:schemeClr val="bg1">
            <a:lumMod val="85000"/>
          </a:schemeClr>
        </a:solidFill>
      </c:spPr>
    </c:plotArea>
    <c:legend>
      <c:legendPos val="b"/>
      <c:layout>
        <c:manualLayout>
          <c:xMode val="edge"/>
          <c:yMode val="edge"/>
          <c:x val="0.41964972530781425"/>
          <c:y val="0.87181087233493892"/>
          <c:w val="0.20079810084198255"/>
          <c:h val="8.23877864015468E-2"/>
        </c:manualLayout>
      </c:layout>
      <c:overlay val="0"/>
      <c:txPr>
        <a:bodyPr/>
        <a:lstStyle/>
        <a:p>
          <a:pPr>
            <a:defRPr sz="1050" b="1"/>
          </a:pPr>
          <a:endParaRPr lang="en-US"/>
        </a:p>
      </c:txPr>
    </c:legend>
    <c:plotVisOnly val="1"/>
    <c:dispBlanksAs val="gap"/>
    <c:showDLblsOverMax val="0"/>
  </c:chart>
  <c:spPr>
    <a:solidFill>
      <a:srgbClr val="33CC33"/>
    </a:solidFill>
  </c:spPr>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0.66254</cdr:x>
      <cdr:y>0.8863</cdr:y>
    </cdr:from>
    <cdr:to>
      <cdr:x>0.83216</cdr:x>
      <cdr:y>0.95627</cdr:y>
    </cdr:to>
    <cdr:sp macro="" textlink="">
      <cdr:nvSpPr>
        <cdr:cNvPr id="2" name="TextBox 1"/>
        <cdr:cNvSpPr txBox="1"/>
      </cdr:nvSpPr>
      <cdr:spPr>
        <a:xfrm xmlns:a="http://schemas.openxmlformats.org/drawingml/2006/main">
          <a:off x="3571877" y="2895599"/>
          <a:ext cx="914400" cy="2286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b="1"/>
        </a:p>
      </cdr:txBody>
    </cdr:sp>
  </cdr:relSizeAnchor>
</c:userShapes>
</file>

<file path=word/drawings/drawing2.xml><?xml version="1.0" encoding="utf-8"?>
<c:userShapes xmlns:c="http://schemas.openxmlformats.org/drawingml/2006/chart">
  <cdr:relSizeAnchor xmlns:cdr="http://schemas.openxmlformats.org/drawingml/2006/chartDrawing">
    <cdr:from>
      <cdr:x>0.52292</cdr:x>
      <cdr:y>0.66667</cdr:y>
    </cdr:from>
    <cdr:to>
      <cdr:x>0.72292</cdr:x>
      <cdr:y>1</cdr:y>
    </cdr:to>
    <cdr:sp macro="" textlink="">
      <cdr:nvSpPr>
        <cdr:cNvPr id="2" name="TextBox 1"/>
        <cdr:cNvSpPr txBox="1"/>
      </cdr:nvSpPr>
      <cdr:spPr>
        <a:xfrm xmlns:a="http://schemas.openxmlformats.org/drawingml/2006/main">
          <a:off x="2390775" y="18288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04655-4F3B-4595-AC1A-0BFE531B2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2335</TotalTime>
  <Pages>1</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106</cp:revision>
  <cp:lastPrinted>2022-03-14T04:47:00Z</cp:lastPrinted>
  <dcterms:created xsi:type="dcterms:W3CDTF">2021-11-24T00:16:00Z</dcterms:created>
  <dcterms:modified xsi:type="dcterms:W3CDTF">2022-03-22T03:10:00Z</dcterms:modified>
</cp:coreProperties>
</file>