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Presentation Script: Tying the Data Knot</w:t>
      </w:r>
    </w:p>
    <w:p>
      <w:r>
        <w:t>Project: Machine Learning Investigation into Dating App Behaviors</w:t>
      </w:r>
    </w:p>
    <w:p>
      <w:r>
        <w:t>Group: 3, OCC6 (Faculty of Computer Science and Information Technology, Universiti Malaya)</w:t>
        <w:br/>
      </w:r>
    </w:p>
    <w:p>
      <w:pPr>
        <w:pStyle w:val="Heading1"/>
      </w:pPr>
      <w:r>
        <w:t>SPEAKER 1: CHEW WEI JIAN</w:t>
      </w:r>
    </w:p>
    <w:p>
      <w:r>
        <w:t>Problem Significance, Dataset &amp; The First Finding (~52 sec)</w:t>
        <w:br/>
      </w:r>
    </w:p>
    <w:p>
      <w:r>
        <w:rPr>
          <w:b/>
          <w:color w:val="0066CC"/>
        </w:rPr>
        <w:t>[VISUAL: Title card + Predictive_Limits_of_Dating_Data.png]</w:t>
      </w:r>
    </w:p>
    <w:p>
      <w:r>
        <w:t>Hi everyone. We are Group 3, OCC6, from the Faculty of Computer Science and Information Technology, Universiti Malaya.</w:t>
      </w:r>
    </w:p>
    <w:p>
      <w:r>
        <w:t>Our project is called "Tying the Data Knot" — a machine learning investigation into whether we can predict meaningful human connections on a dating app.</w:t>
      </w:r>
    </w:p>
    <w:p>
      <w:r>
        <w:rPr>
          <w:b/>
          <w:color w:val="0066CC"/>
        </w:rPr>
        <w:t>[VISUAL: 01_match_outcome_distribution.png]</w:t>
      </w:r>
    </w:p>
    <w:p>
      <w:r>
        <w:t>Our dataset contains 50,000 user profiles across 25 features — demographics, behavioural metrics like swipe ratio, message count, and mutual matches.</w:t>
      </w:r>
    </w:p>
    <w:p>
      <w:r>
        <w:t>We binarised 10 original outcome categories into two classes:</w:t>
      </w:r>
    </w:p>
    <w:p>
      <w:pPr>
        <w:pStyle w:val="ListBullet"/>
      </w:pPr>
      <w:r>
        <w:t>• Positive outcomes: mutual matches, instant matches, dates, and relationships formed.</w:t>
      </w:r>
    </w:p>
    <w:p>
      <w:pPr>
        <w:pStyle w:val="ListBullet"/>
      </w:pPr>
      <w:r>
        <w:t>• Negative outcomes: ghosting, blocking, and no action.</w:t>
      </w:r>
    </w:p>
    <w:p>
      <w:r>
        <w:rPr>
          <w:b/>
          <w:color w:val="0066CC"/>
        </w:rPr>
        <w:t>[VISUAL: 05_numerical_features_by_match_outcome.png]</w:t>
      </w:r>
    </w:p>
    <w:p>
      <w:r>
        <w:rPr>
          <w:i w:val="0"/>
        </w:rPr>
        <w:t xml:space="preserve">The first and most important finding from our comprehensive EDA: despite a realistic class imbalance of 39.7% positive to 60.3% negative, </w:t>
      </w:r>
      <w:r>
        <w:rPr>
          <w:b/>
        </w:rPr>
        <w:t>feature distributions across both classes are nearly identical.</w:t>
      </w:r>
    </w:p>
    <w:p>
      <w:r>
        <w:t>Swipe ratios, app usage, message counts — essentially flat. No single feature separates matches from non-matches.</w:t>
      </w:r>
    </w:p>
    <w:p>
      <w:r>
        <w:t>This is not a failure. It is a scientific result — and it shaped every design decision that follows.</w:t>
        <w:br/>
      </w:r>
    </w:p>
    <w:p>
      <w:pPr>
        <w:pStyle w:val="Heading1"/>
      </w:pPr>
      <w:r>
        <w:t>SPEAKER 2: KU JIAN CHENG</w:t>
      </w:r>
    </w:p>
    <w:p>
      <w:r>
        <w:t>Preprocessing, Causal Discovery &amp; Feature Engineering (~67 sec)</w:t>
        <w:br/>
      </w:r>
    </w:p>
    <w:p>
      <w:r>
        <w:rPr>
          <w:b/>
          <w:color w:val="0066CC"/>
        </w:rPr>
        <w:t>[VISUAL: assets/pipeline_diagram.png]</w:t>
      </w:r>
    </w:p>
    <w:p>
      <w:r>
        <w:t>Thank you, Wei Jian. Before training a single model, we built a production-grade preprocessing pipeline driven entirely by what the data told us.</w:t>
      </w:r>
    </w:p>
    <w:p>
      <w:r>
        <w:t>For encoding, we used:</w:t>
      </w:r>
    </w:p>
    <w:p>
      <w:pPr>
        <w:pStyle w:val="ListBullet"/>
      </w:pPr>
      <w:r>
        <w:t>• Ordinal encoding for ranked features like income and education.</w:t>
      </w:r>
    </w:p>
    <w:p>
      <w:pPr>
        <w:pStyle w:val="ListBullet"/>
      </w:pPr>
      <w:r>
        <w:t>• One-hot encoding for nominal categories.</w:t>
      </w:r>
    </w:p>
    <w:p>
      <w:pPr>
        <w:pStyle w:val="ListBullet"/>
      </w:pPr>
      <w:r>
        <w:t>• Multi-hot encoding for 49 interest tags into a binary matrix.</w:t>
      </w:r>
    </w:p>
    <w:p>
      <w:r>
        <w:t>Together with three engineered interaction features, this expanded our 25 raw columns to 116 input features.</w:t>
      </w:r>
    </w:p>
    <w:p>
      <w:r>
        <w:rPr>
          <w:b/>
          <w:color w:val="0066CC"/>
        </w:rPr>
        <w:t>[VISUAL: 09_causal_dag.png]</w:t>
      </w:r>
    </w:p>
    <w:p>
      <w:r>
        <w:t>Beyond encoding, we applied the PC Algorithm with a Kernel Conditional Independence test to map the causal DAG of user behaviour. This revealed that variables like mutual_matches are structurally isolated, so relying on them as direct predictors can introduce structural bias.</w:t>
      </w:r>
    </w:p>
    <w:p>
      <w:r>
        <w:t>Double Machine Learning then isolated the causal effect of profile photos: yielding an Average Treatment Effect (ATE) of 0.0104 with a p-value of 0.0322 — a statistically significant but inherently weak signal.</w:t>
      </w:r>
    </w:p>
    <w:p>
      <w:r>
        <w:rPr>
          <w:b/>
          <w:color w:val="0066CC"/>
        </w:rPr>
        <w:t>[VISUAL: 11_ood_anomaly_score_distribution.png]</w:t>
      </w:r>
    </w:p>
    <w:p>
      <w:r>
        <w:t>RobustScaler was chosen for skewed activity metrics, while an Isolation Forest OOD guardrail rejects anomalous profiles at inference. Feature selection combined ANOVA F-Score, Mutual Information, and Boruta in parallel — pruning 116 features down to 67.</w:t>
      </w:r>
    </w:p>
    <w:p>
      <w:r>
        <w:rPr>
          <w:b/>
          <w:color w:val="0066CC"/>
        </w:rPr>
        <w:t>[VISUAL: 16_train_test_class_distribution.png]</w:t>
      </w:r>
    </w:p>
    <w:p>
      <w:r>
        <w:t>Finally, a stratified 80/20 split with SMOTE applied only on the training data ensured no synthetic samples leaked into the test set.</w:t>
        <w:br/>
      </w:r>
    </w:p>
    <w:p>
      <w:pPr>
        <w:pStyle w:val="Heading1"/>
      </w:pPr>
      <w:r>
        <w:t>SPEAKER 3: NG JIN RU</w:t>
      </w:r>
    </w:p>
    <w:p>
      <w:r>
        <w:t>14-Architecture Benchmark &amp; Champion Selection (~70 sec)</w:t>
        <w:br/>
      </w:r>
    </w:p>
    <w:p>
      <w:r>
        <w:rPr>
          <w:b/>
          <w:color w:val="0066CC"/>
        </w:rPr>
        <w:t>[VISUAL: 18_model_performance_comparison.png]</w:t>
      </w:r>
    </w:p>
    <w:p>
      <w:r>
        <w:t>Thank you, Jian Cheng. With our data pipeline locked, we moved to model training.</w:t>
      </w:r>
    </w:p>
    <w:p>
      <w:r>
        <w:t>We built and evaluated 14 distinct architectures in total — spanning baseline classifiers and advanced tabular deep learning models like SAINT, NODE, and FT-Transformer, alongside supplementary modules.</w:t>
      </w:r>
    </w:p>
    <w:p>
      <w:r>
        <w:rPr>
          <w:b/>
          <w:color w:val="0066CC"/>
        </w:rPr>
        <w:t>[VISUAL: 19_confusion_matrices.png + 20_roc_curves.png]</w:t>
      </w:r>
    </w:p>
    <w:p>
      <w:r>
        <w:t>All models clustered around an ROC-AUC of 0.51 — barely above random chance. However, a rigorous Friedman test confirmed that these score differences are statistically significant (p = 0.0004), proving our metrics are genuine and not a product of random variance.</w:t>
      </w:r>
    </w:p>
    <w:p>
      <w:r>
        <w:t>Furthermore, FLAML and PyCaret AutoML validation hit the exact same 60.3% ceiling — proving we extracted 100% of the available signal.</w:t>
      </w:r>
    </w:p>
    <w:p>
      <w:r>
        <w:rPr>
          <w:b/>
          <w:color w:val="0066CC"/>
        </w:rPr>
        <w:t>[VISUAL: 29_all_models_roc_auc_ranking.png]</w:t>
      </w:r>
    </w:p>
    <w:p>
      <w:r>
        <w:t>Champion selection required careful justification. SVM Bagging scored the highest raw ROC-AUC of 0.5143 — but with a 0% F1-Score, it had collapsed into a majority-class predictor, making it scientifically meaningless.</w:t>
      </w:r>
    </w:p>
    <w:p>
      <w:r>
        <w:rPr>
          <w:b/>
        </w:rPr>
        <w:t>LightGBM scored an ROC-AUC of 0.5112 with an F1 of 18.57%</w:t>
      </w:r>
      <w:r>
        <w:t xml:space="preserve"> — maintaining balanced positive-class discrimination without collapsing global accuracy. Its speed enabled 1,000-trial Optuna tuning, and its native SHAP TreeExplainer compatibility powers our entire downstream pipeline: calibration, DiCE recourse, Knowledge Distillation, and Causal Uplift. A model that breaks any of these collapses the system.</w:t>
        <w:br/>
      </w:r>
    </w:p>
    <w:p>
      <w:pPr>
        <w:pStyle w:val="Heading1"/>
      </w:pPr>
      <w:r>
        <w:t>SPEAKER 4: ANG YING EN</w:t>
      </w:r>
    </w:p>
    <w:p>
      <w:r>
        <w:t>Tuning, Evaluation &amp; Advanced Validation (~62 sec)</w:t>
        <w:br/>
      </w:r>
    </w:p>
    <w:p>
      <w:r>
        <w:rPr>
          <w:b/>
          <w:color w:val="0066CC"/>
        </w:rPr>
        <w:t>[VISUAL: 26_baseline_vs_tuned_comparison.png]</w:t>
      </w:r>
    </w:p>
    <w:p>
      <w:r>
        <w:t>We tuned LightGBM with RandomizedSearchCV and GPU-accelerated Optuna — using F1 Score as the objective to ensure the model balances precision and recall without gaming accuracy on the majority class.</w:t>
      </w:r>
    </w:p>
    <w:p>
      <w:r>
        <w:rPr>
          <w:b/>
          <w:color w:val="0066CC"/>
        </w:rPr>
        <w:t>[VISUAL: 22_learning_curves.png]</w:t>
      </w:r>
    </w:p>
    <w:p>
      <w:r>
        <w:t>Learning curves showed tight train-validation convergence — definitive proof that the ceiling is a data limitation, not a modelling one. We calibrated LightGBM with Isotonic Regression on a held-out split, ensuring probabilities reflect true empirical frequencies.</w:t>
      </w:r>
    </w:p>
    <w:p>
      <w:r>
        <w:rPr>
          <w:b/>
          <w:color w:val="0066CC"/>
        </w:rPr>
        <w:t>[VISUAL: 32_shap_interaction_matrix + 36_probability_calibration_reliability_diagram.png]</w:t>
      </w:r>
    </w:p>
    <w:p>
      <w:r>
        <w:t>For interpretability, we computed SHAP interaction values and Friedman's H-Statistic to map pairwise feature synergies. We also ran a demographic parity audit — confirming our model does not discriminate by gender or orientation.</w:t>
      </w:r>
    </w:p>
    <w:p>
      <w:r>
        <w:t>For robustness, Conformal Prediction provides provable uncertainty coverage, and FGSM adversarial testing verified graceful degradation. For deployment, Knowledge Distillation compressed our champion into a lightweight model, and Microsoft DiCE generates actionable profile recommendations — turning predictions into user agency.</w:t>
        <w:br/>
      </w:r>
    </w:p>
    <w:p>
      <w:pPr>
        <w:pStyle w:val="Heading1"/>
      </w:pPr>
      <w:r>
        <w:t>SPEAKER 5: CHAANG WAI CHIU</w:t>
      </w:r>
    </w:p>
    <w:p>
      <w:r>
        <w:t>Deployment, Conclusion &amp; Future Work (~53 sec)</w:t>
        <w:br/>
      </w:r>
    </w:p>
    <w:p>
      <w:r>
        <w:rPr>
          <w:b/>
          <w:color w:val="0066CC"/>
        </w:rPr>
        <w:t>[VISUAL: 38_causal_uplift_targeting_segments.png -&gt; streamlit_overview.png -&gt; streamlit_causal_uplift.png]</w:t>
      </w:r>
    </w:p>
    <w:p>
      <w:r>
        <w:t>We also built a T-Learner Causal Uplift model to segment users by individual treatment effect, and deployed SwipeIQ V2 — a Streamlit dashboard with nine live sandboxes covering every pipeline component.</w:t>
      </w:r>
    </w:p>
    <w:p>
      <w:r>
        <w:rPr>
          <w:b/>
          <w:color w:val="0066CC"/>
        </w:rPr>
        <w:t>[VISUAL: Decoding_Romantic_Success_Research.png]</w:t>
      </w:r>
    </w:p>
    <w:p>
      <w:r>
        <w:t>To conclude: we evaluated 14 architectures, disqualified majority-class predictors, and selected LightGBM as our champion — validating the 60.3% ceiling with AutoML, statistical testing, and learning curves.</w:t>
      </w:r>
    </w:p>
    <w:p>
      <w:r>
        <w:rPr>
          <w:b/>
        </w:rPr>
        <w:t>That limit is a property of the data, not our engineering.</w:t>
      </w:r>
    </w:p>
    <w:p>
      <w:r>
        <w:t>For future work, our report proposes five directions:</w:t>
      </w:r>
    </w:p>
    <w:p>
      <w:pPr>
        <w:pStyle w:val="ListNumber"/>
      </w:pPr>
      <w:r>
        <w:t>1. Diffusion-based synthetic augmentation</w:t>
      </w:r>
    </w:p>
    <w:p>
      <w:pPr>
        <w:pStyle w:val="ListNumber"/>
      </w:pPr>
      <w:r>
        <w:t>2. Tabular transfer learning</w:t>
      </w:r>
    </w:p>
    <w:p>
      <w:pPr>
        <w:pStyle w:val="ListNumber"/>
      </w:pPr>
      <w:r>
        <w:t>3. Graph neural networks for bipartite matchmaking</w:t>
      </w:r>
    </w:p>
    <w:p>
      <w:pPr>
        <w:pStyle w:val="ListNumber"/>
      </w:pPr>
      <w:r>
        <w:t>4. Bayesian neural networks for calibrated intervals</w:t>
      </w:r>
    </w:p>
    <w:p>
      <w:pPr>
        <w:pStyle w:val="ListNumber"/>
      </w:pPr>
      <w:r>
        <w:t>5. Active learning with human-in-the-loop surveys</w:t>
      </w:r>
    </w:p>
    <w:p>
      <w:r>
        <w:br/>
        <w:t>Our scientific finding is clear: with the features available, love cannot be scientifically predicted. But the rigour of that finding — the 17-section pipeline we built to prove it honestly — that is the real contribution of this project.</w:t>
      </w:r>
    </w:p>
    <w:p>
      <w:r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