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png" ContentType="image/jpeg"/>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rsidRPr="002B3302">
        <w:rPr>
          <w:b/>
          <w:sz w:val="52"/>
          <w:szCs w:val="24"/>
        </w:rPr>
        <w:t>Tying the (Data) Knot: Predicting Meaningful Connections</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details the execution of an advanced, PhD-level Machine Learning pipeline (Version 5.1) designed to predict meaningful connections on a dating application. Utilizing a 50,000-sample programmatic dataset, we transcended standard predictive modeling by engineering advanced Trustworthy AI mechanisms and Causal Inference. The architecture incorporates Out-of-Distribution (OOD) Isolation Forest guardrails, Double Machine Learning (DML) for causal estimation, Microsoft DiCE for algorithmic recourse, and Causal Uplift T-Learners for prescriptive targeting. Extensive evaluation across 16 models—including TabPFN, PyTorch Attentive TabNets, SCARF contrastive learners, and GAT Graph Neural Networks—mathematically proves that while our pipeline is engineering-complete, the dataset itself is purely stochastic, yielding an empirical maximum performance baseline of 60.30%.</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demonstrating the absence of predictive signal within the programmatic dataset. Features like zodiac sign or swipe ratio carry no genuine correlation with connection success.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pPr>
        <w:spacing w:before="320" w:after="120"/>
      </w:pPr>
      <w:r>
        <w:rPr>
          <w:b/>
          <w:color w:val="008080"/>
          <w:sz w:val="26"/>
        </w:rPr>
        <w:t>3.1 Isolation Forest OOD Rejection (V5)</w:t>
      </w:r>
    </w:p>
    <w:p>
      <w:pPr>
        <w:spacing w:after="160"/>
        <w:jc w:val="both"/>
      </w:pPr>
      <w:r>
        <w:rPr>
          <w:rFonts w:ascii="Arial" w:hAnsi="Arial"/>
          <w:sz w:val="22"/>
        </w:rPr>
        <w:t>Deploying production-grade machine learning models requires robust safeguards against anomalous inputs. In our V5 pipeline, we introduced an unsupervised Isolation Forest guardrail fitted with a 5% contamination factor. Unlike standard outlier detection, Isolation Forests randomly partition feature space; anomalous user profiles require significantly fewer splits to isolate, resulting in shorter tree path lengths. By setting an anomaly score threshold of 0.55, our system intercepts and rejects Out-of-Distribution (OOD) profiles (e.g., hyper-active swipers or incomplete profiles) at inference time, guaranteeing that downstream classifiers are only exposed to clean, in-distribution data.</w:t>
      </w:r>
    </w:p>
    <w:p>
      <w:pPr>
        <w:spacing w:before="320" w:after="120"/>
      </w:pPr>
      <w:r>
        <w:rPr>
          <w:b/>
          <w:color w:val="008080"/>
          <w:sz w:val="26"/>
        </w:rPr>
        <w:t>3.2 Deep Tabular Architectures &amp; Zero-Shot Transformers (V5)</w:t>
      </w:r>
    </w:p>
    <w:p>
      <w:pPr>
        <w:spacing w:after="160"/>
        <w:jc w:val="both"/>
      </w:pPr>
      <w:r>
        <w:rPr>
          <w:rFonts w:ascii="Arial" w:hAnsi="Arial"/>
          <w:sz w:val="22"/>
        </w:rPr>
        <w:t>Traditional tree-based models often struggle to capture deep, abstract representations in tabular data. To resolve this, we programmed custom PyTorch architectures. Our ensemble includes a custom Attentive Tabular Network (TabNet-style) that utilizes sequential sparse attention to perform instance-wise feature selection, returning dynamic selection masks for high explainability. Furthermore, we integrated TabPFN—a Zero-Shot Tabular Transformer pre-trained on millions of synthetic datasets. By feeding TabPFN a subsampled prior support matrix, it approximated the true Bayesian posterior for our dataset in a single forward pass without requiring gradient descent or hyperparameter optimization.</w:t>
      </w:r>
    </w:p>
    <w:p>
      <w:pPr>
        <w:jc w:val="center"/>
      </w:pPr>
      <w:r>
        <w:drawing>
          <wp:inline xmlns:a="http://schemas.openxmlformats.org/drawingml/2006/main" xmlns:pic="http://schemas.openxmlformats.org/drawingml/2006/picture">
            <wp:extent cx="4572000" cy="4572000"/>
            <wp:docPr id="1834468040" name="Picture 1834468040"/>
            <wp:cNvGraphicFramePr>
              <a:graphicFrameLocks noChangeAspect="1"/>
            </wp:cNvGraphicFramePr>
            <a:graphic>
              <a:graphicData uri="http://schemas.openxmlformats.org/drawingml/2006/picture">
                <pic:pic>
                  <pic:nvPicPr>
                    <pic:cNvPr id="0" name="deep_tabular_models.png"/>
                    <pic:cNvPicPr/>
                  </pic:nvPicPr>
                  <pic:blipFill>
                    <a:blip r:embed="rId23"/>
                    <a:stretch>
                      <a:fillRect/>
                    </a:stretch>
                  </pic:blipFill>
                  <pic:spPr>
                    <a:xfrm>
                      <a:off x="0" y="0"/>
                      <a:ext cx="4572000" cy="4572000"/>
                    </a:xfrm>
                    <a:prstGeom prst="rect"/>
                  </pic:spPr>
                </pic:pic>
              </a:graphicData>
            </a:graphic>
          </wp:inline>
        </w:drawing>
      </w:r>
    </w:p>
    <w:p>
      <w:pPr>
        <w:spacing w:after="240"/>
        <w:jc w:val="center"/>
      </w:pPr>
      <w:r>
        <w:rPr>
          <w:i/>
          <w:color w:val="666666"/>
          <w:sz w:val="20"/>
        </w:rPr>
        <w:t>Figure: Structural PyTorch Architectures including FT-Transformer and NODE.</w:t>
      </w:r>
    </w:p>
    <w:p>
      <w:pPr>
        <w:spacing w:before="320" w:after="120"/>
      </w:pPr>
      <w:r>
        <w:rPr>
          <w:b/>
          <w:color w:val="008080"/>
          <w:sz w:val="26"/>
        </w:rPr>
        <w:t>3.3 Causal Uplift Modeling &amp; Double Machine Learning (V5.1)</w:t>
      </w:r>
    </w:p>
    <w:p>
      <w:pPr>
        <w:spacing w:after="160"/>
        <w:jc w:val="both"/>
      </w:pPr>
      <w:r>
        <w:rPr>
          <w:rFonts w:ascii="Arial" w:hAnsi="Arial"/>
          <w:sz w:val="22"/>
        </w:rPr>
        <w:t>Predictive correlation is insufficient for deriving actionable platform recommendations. A model might learn that 'high photo count' correlates with match success, but this association is heavily confounded by demographic income and education levels (which enable better photography). To strip away this confounding bias, we applied a Double Machine Learning (DML) residual regression engine. By regressing the target residuals against the treatment residuals, we isolated the true Average Treatment Effect (ATE), mathematically proving that the intrinsic causal impact of profile modifications in this programmatic dataset is statistically zero.</w:t>
      </w:r>
    </w:p>
    <w:p>
      <w:pPr>
        <w:spacing w:after="160"/>
        <w:jc w:val="both"/>
      </w:pPr>
      <w:r>
        <w:rPr>
          <w:rFonts w:ascii="Arial" w:hAnsi="Arial"/>
          <w:sz w:val="22"/>
        </w:rPr>
        <w:t>Expanding on causality, we implemented a Causal Uplift T-Learner Meta-Classifier to prescribe actionable interventions. Two separate Random Forest estimators were trained: a Treatment model (M1) and a Control model (M0). By comparing their probability distributions on unseen profiles, we calculated the Individual Treatment Effect (ITE).</w:t>
      </w:r>
    </w:p>
    <w:p>
      <w:pPr>
        <w:jc w:val="center"/>
      </w:pPr>
      <w:r>
        <w:drawing>
          <wp:inline xmlns:a="http://schemas.openxmlformats.org/drawingml/2006/main" xmlns:pic="http://schemas.openxmlformats.org/drawingml/2006/picture">
            <wp:extent cx="4572000" cy="4572000"/>
            <wp:docPr id="1834468041" name="Picture 1834468041"/>
            <wp:cNvGraphicFramePr>
              <a:graphicFrameLocks noChangeAspect="1"/>
            </wp:cNvGraphicFramePr>
            <a:graphic>
              <a:graphicData uri="http://schemas.openxmlformats.org/drawingml/2006/picture">
                <pic:pic>
                  <pic:nvPicPr>
                    <pic:cNvPr id="0" name="causal_uplift_diagram_1779884020879.png"/>
                    <pic:cNvPicPr/>
                  </pic:nvPicPr>
                  <pic:blipFill>
                    <a:blip r:embed="rId24"/>
                    <a:stretch>
                      <a:fillRect/>
                    </a:stretch>
                  </pic:blipFill>
                  <pic:spPr>
                    <a:xfrm>
                      <a:off x="0" y="0"/>
                      <a:ext cx="4572000" cy="4572000"/>
                    </a:xfrm>
                    <a:prstGeom prst="rect"/>
                  </pic:spPr>
                </pic:pic>
              </a:graphicData>
            </a:graphic>
          </wp:inline>
        </w:drawing>
      </w:r>
    </w:p>
    <w:p>
      <w:pPr>
        <w:spacing w:after="240"/>
        <w:jc w:val="center"/>
      </w:pPr>
      <w:r>
        <w:rPr>
          <w:i/>
          <w:color w:val="666666"/>
          <w:sz w:val="20"/>
        </w:rPr>
        <w:t>Figure: Causal Uplift Modeling Flowchart - T-Learner Segmentation into Prescriptive Cohorts (Persuadables, Sure Things, Lost Causes, Sleeping Dogs).</w:t>
      </w:r>
    </w:p>
    <w:p>
      <w:pPr>
        <w:spacing w:before="320" w:after="120"/>
      </w:pPr>
      <w:r>
        <w:rPr>
          <w:b/>
          <w:color w:val="008080"/>
          <w:sz w:val="26"/>
        </w:rPr>
        <w:t>3.4 Graph Neural Networks &amp; SCARF Pre-Training (V4)</w:t>
      </w:r>
    </w:p>
    <w:p>
      <w:pPr>
        <w:spacing w:after="160"/>
        <w:jc w:val="both"/>
      </w:pPr>
      <w:r>
        <w:rPr>
          <w:rFonts w:ascii="Arial" w:hAnsi="Arial"/>
          <w:sz w:val="22"/>
        </w:rPr>
        <w:t>To model user interaction dynamics organically, we constructed a k-Nearest Neighbors (k-NN) similarity graph. Treating users as nodes, we trained a Graph Attention Network (GAT) to perform semi-supervised node classification, allowing information to propagate across the dating network. Simultaneously, we applied SCARF (Self-Supervised Contrastive Learning) to bypass the lack of clear labeling signal. By intentionally corrupting feature rows and training an encoder to differentiate between true and corrupted profiles via InfoNCE loss, we forced the extraction of a dense, meaningful latent space prior to downstream classification.</w:t>
      </w:r>
    </w:p>
    <w:p>
      <w:pPr>
        <w:jc w:val="center"/>
      </w:pPr>
      <w:r>
        <w:drawing>
          <wp:inline xmlns:a="http://schemas.openxmlformats.org/drawingml/2006/main" xmlns:pic="http://schemas.openxmlformats.org/drawingml/2006/picture">
            <wp:extent cx="4572000" cy="1360074"/>
            <wp:docPr id="1834468042" name="Picture 1834468042"/>
            <wp:cNvGraphicFramePr>
              <a:graphicFrameLocks noChangeAspect="1"/>
            </wp:cNvGraphicFramePr>
            <a:graphic>
              <a:graphicData uri="http://schemas.openxmlformats.org/drawingml/2006/picture">
                <pic:pic>
                  <pic:nvPicPr>
                    <pic:cNvPr id="0" name="scarf_embeddings.png"/>
                    <pic:cNvPicPr/>
                  </pic:nvPicPr>
                  <pic:blipFill>
                    <a:blip r:embed="rId25"/>
                    <a:stretch>
                      <a:fillRect/>
                    </a:stretch>
                  </pic:blipFill>
                  <pic:spPr>
                    <a:xfrm>
                      <a:off x="0" y="0"/>
                      <a:ext cx="4572000" cy="1360074"/>
                    </a:xfrm>
                    <a:prstGeom prst="rect"/>
                  </pic:spPr>
                </pic:pic>
              </a:graphicData>
            </a:graphic>
          </wp:inline>
        </w:drawing>
      </w:r>
    </w:p>
    <w:p>
      <w:pPr>
        <w:spacing w:after="240"/>
        <w:jc w:val="center"/>
      </w:pPr>
      <w:r>
        <w:rPr>
          <w:i/>
          <w:color w:val="666666"/>
          <w:sz w:val="20"/>
        </w:rPr>
        <w:t>Figure: t-SNE Projections of the SCARF Contrastive Latent Space.</w:t>
      </w:r>
    </w:p>
    <w:p>
      <w:pPr>
        <w:spacing w:before="320" w:after="120"/>
      </w:pPr>
      <w:r>
        <w:rPr>
          <w:b/>
          <w:color w:val="008080"/>
          <w:sz w:val="26"/>
        </w:rPr>
        <w:t>3.5 Algorithmic Recourse via Microsoft DiCE (V5)</w:t>
      </w:r>
    </w:p>
    <w:p>
      <w:pPr>
        <w:spacing w:after="160"/>
        <w:jc w:val="both"/>
      </w:pPr>
      <w:r>
        <w:rPr>
          <w:rFonts w:ascii="Arial" w:hAnsi="Arial"/>
          <w:sz w:val="22"/>
        </w:rPr>
        <w:t>Providing a user with a static 'Ghosted' prediction is inherently unethical without offering a pathway for improvement. We deployed Microsoft's DiCE (Diverse Counterfactual Explanations) framework to inject algorithmic agency. When the pipeline outputs a negative connection probability, DiCE utilizes randomized optimization over a defined feature domain to extract the minimal, actionable alterations the user can enact (e.g., modifying their bio length by 15 words) to successfully flip the model's decision boundary. This transforms our classifier into a prescriptive dating coach.</w:t>
      </w:r>
    </w:p>
    <w:p>
      <w:pPr>
        <w:spacing w:before="320" w:after="120"/>
      </w:pPr>
      <w:r>
        <w:rPr>
          <w:b/>
          <w:color w:val="008080"/>
          <w:sz w:val="26"/>
        </w:rPr>
        <w:t>3.6 Conformal Prediction &amp; Bayesian Uncertainty (V4)</w:t>
      </w:r>
    </w:p>
    <w:p>
      <w:pPr>
        <w:spacing w:after="160"/>
        <w:jc w:val="both"/>
      </w:pPr>
      <w:r>
        <w:rPr>
          <w:rFonts w:ascii="Arial" w:hAnsi="Arial"/>
          <w:sz w:val="22"/>
        </w:rPr>
        <w:t>Point predictions in social contexts are dangerous. We integrated MAPIE (Model Agnostic Prediction Interval Estimator) to generate Conformal Prediction sets. Instead of outputting a single class, our model returns a mathematically guaranteed bounding set that covers the true outcome with 90% confidence. To further quantify uncertainty, we utilized Monte Carlo Dropout in our Bayesian Neural Networks, extracting epistemic uncertainty bounds through stochastic forward passes. This ensures that the platform knows exactly when the AI is unsure.</w:t>
      </w:r>
    </w:p>
    <w:p>
      <w:pPr>
        <w:jc w:val="center"/>
      </w:pPr>
      <w:r>
        <w:drawing>
          <wp:inline xmlns:a="http://schemas.openxmlformats.org/drawingml/2006/main" xmlns:pic="http://schemas.openxmlformats.org/drawingml/2006/picture">
            <wp:extent cx="4572000" cy="1261359"/>
            <wp:docPr id="1834468043" name="Picture 1834468043"/>
            <wp:cNvGraphicFramePr>
              <a:graphicFrameLocks noChangeAspect="1"/>
            </wp:cNvGraphicFramePr>
            <a:graphic>
              <a:graphicData uri="http://schemas.openxmlformats.org/drawingml/2006/picture">
                <pic:pic>
                  <pic:nvPicPr>
                    <pic:cNvPr id="0" name="conformal_prediction.png"/>
                    <pic:cNvPicPr/>
                  </pic:nvPicPr>
                  <pic:blipFill>
                    <a:blip r:embed="rId26"/>
                    <a:stretch>
                      <a:fillRect/>
                    </a:stretch>
                  </pic:blipFill>
                  <pic:spPr>
                    <a:xfrm>
                      <a:off x="0" y="0"/>
                      <a:ext cx="4572000" cy="1261359"/>
                    </a:xfrm>
                    <a:prstGeom prst="rect"/>
                  </pic:spPr>
                </pic:pic>
              </a:graphicData>
            </a:graphic>
          </wp:inline>
        </w:drawing>
      </w:r>
    </w:p>
    <w:p>
      <w:pPr>
        <w:spacing w:after="240"/>
        <w:jc w:val="center"/>
      </w:pPr>
      <w:r>
        <w:rPr>
          <w:i/>
          <w:color w:val="666666"/>
          <w:sz w:val="20"/>
        </w:rPr>
        <w:t>Figure: Conformal Prediction Marginal Coverage and Set Sizes.</w:t>
      </w:r>
    </w:p>
    <w:p>
      <w:pPr>
        <w:jc w:val="center"/>
      </w:pPr>
      <w:r>
        <w:drawing>
          <wp:inline xmlns:a="http://schemas.openxmlformats.org/drawingml/2006/main" xmlns:pic="http://schemas.openxmlformats.org/drawingml/2006/picture">
            <wp:extent cx="4572000" cy="1360074"/>
            <wp:docPr id="1834468044" name="Picture 1834468044"/>
            <wp:cNvGraphicFramePr>
              <a:graphicFrameLocks noChangeAspect="1"/>
            </wp:cNvGraphicFramePr>
            <a:graphic>
              <a:graphicData uri="http://schemas.openxmlformats.org/drawingml/2006/picture">
                <pic:pic>
                  <pic:nvPicPr>
                    <pic:cNvPr id="0" name="bayesian_uncertainty.png"/>
                    <pic:cNvPicPr/>
                  </pic:nvPicPr>
                  <pic:blipFill>
                    <a:blip r:embed="rId27"/>
                    <a:stretch>
                      <a:fillRect/>
                    </a:stretch>
                  </pic:blipFill>
                  <pic:spPr>
                    <a:xfrm>
                      <a:off x="0" y="0"/>
                      <a:ext cx="4572000" cy="1360074"/>
                    </a:xfrm>
                    <a:prstGeom prst="rect"/>
                  </pic:spPr>
                </pic:pic>
              </a:graphicData>
            </a:graphic>
          </wp:inline>
        </w:drawing>
      </w:r>
    </w:p>
    <w:p>
      <w:pPr>
        <w:spacing w:after="240"/>
        <w:jc w:val="center"/>
      </w:pPr>
      <w:r>
        <w:rPr>
          <w:i/>
          <w:color w:val="666666"/>
          <w:sz w:val="20"/>
        </w:rPr>
        <w:t>Figure: Bayesian Epistemic Uncertainty Density via MC Dropout.</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14:paraId="19C8D6AC" w14:textId="17A76E8D" w:rsidR="008E7F84" w:rsidRDefault="00000000" w:rsidP="002B3302">
      <w:pPr>
        <w:pStyle w:val="ListParagraph"/>
        <w:numPr>
          <w:ilvl w:val="0"/>
          <w:numId w:val="11"/>
        </w:numPr>
        <w:spacing w:after="120"/>
        <w:jc w:val="both"/>
      </w:pPr>
      <w:r>
        <w:t xml:space="preserve">6. Normalization: Applied a </w:t>
      </w:r>
      <w:proofErr w:type="spellStart"/>
      <w:r>
        <w:t>StandardScaler</w:t>
      </w:r>
      <w:proofErr w:type="spellEnd"/>
      <w:r>
        <w:t xml:space="preserve"> to all 12 numerical features (centering to mean=0 and scaling to unit variance). This is mathematically vital for distance-based estimators like KNN and support vector classifiers.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pPr>
        <w:pStyle w:val="ListParagraph"/>
      </w:pPr>
      <w:r>
        <w:t>LightGBM: A high-performance gradient boosting framework based on decision tree algorithms, utilizing histogram-based splits and leaf-wise growth.</w:t>
      </w:r>
    </w:p>
    <w:p>
      <w:pPr>
        <w:pStyle w:val="ListParagraph"/>
      </w:pPr>
      <w:r>
        <w:t>CatBoost: A gradient boosting library specifically optimized to natively handle categorical features robustly without extensive preprocessing.</w:t>
      </w:r>
    </w:p>
    <w:p>
      <w:pPr>
        <w:pStyle w:val="ListParagraph"/>
      </w:pPr>
      <w:r>
        <w:t>Multi-Layer Perceptron (MLP): A deep feedforward artificial neural network consisting of input, hidden, and output layers to capture complex non-linear relationships.</w:t>
      </w:r>
    </w:p>
    <w:p>
      <w:pPr>
        <w:pStyle w:val="ListParagraph"/>
      </w:pPr>
      <w:r>
        <w:t>Balanced Random Forest: An ensemble bagging classifier from imbalanced-learn that natively balances bootstrapped samples during tree building to prevent class bias.</w:t>
      </w:r>
    </w:p>
    <w:p>
      <w:pPr>
        <w:pStyle w:val="ListParagraph"/>
      </w:pPr>
      <w:r>
        <w:t>Collaborative Filtering (Cosine KNN CF): Configures a KNN classifier using the cosine similarity metric, acting as a similarity-based dating recommendation engine.</w:t>
      </w:r>
    </w:p>
    <w:p>
      <w:pPr>
        <w:pStyle w:val="ListParagraph"/>
      </w:pPr>
      <w:r>
        <w:t>TabNet Deep Learning: An attentive transformer-based tabular deep learning model that uses sequential attention to select salient features at each decision step, specifically optimized for structured data.</w:t>
      </w:r>
    </w:p>
    <w:p>
      <w:pPr>
        <w:pStyle w:val="ListParagraph"/>
      </w:pPr>
      <w:r>
        <w:t>Champion Stacking Ensemble: A meta-ensemble combining LightGBM, XGBoost, and CatBoost predictions using a balanced Logistic Regression meta-learner.</w:t>
      </w:r>
    </w:p>
    <w:p>
      <w:r>
        <w:t>FT-Transformer (Feature Tokenizer Transformer): Projects both numerical and categorical features into dense token embeddings using projection linear layers and embedding dictionaries, then processes them through multi-head self-attention blocks to capture complex cross-feature interactions.</w:t>
      </w:r>
    </w:p>
    <w:p>
      <w:r>
        <w:t>SAINT (Self-Attention and Invariant Representation): Applies self-attention over the feature dimensions (across features) rather than just spatial dimensions, capturing non-linear relationships and cross-feature correlations on tabular inputs.</w:t>
      </w:r>
    </w:p>
    <w:p>
      <w:r>
        <w:t>NODE (Neural Oblivious Decision Ensembles): Integrates differentiable oblivious decision trees with entmax/softmax activations, allowing forest-based tabular networks to be trained natively via backpropagation on GPUs.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p w14:paraId="4E7FFC6D" w14:textId="77777777" w:rsidR="008E7F84" w:rsidRDefault="00000000">
      <w:pPr>
        <w:spacing w:after="120"/>
        <w:jc w:val="both"/>
      </w:pPr>
      <w:r>
        <w:t>The models were trained on 80% of the dataset (40,000 samples), which was natively balanced using SMOTE to a perfect 50/50 split (24,120 positive / 24,120 negative), and evaluated on a stratified 20% test split (10,000 samples). Performance metrics across all 14 baseline and advanced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tc>
          <w:tcPr>
            <w:tcW w:type="dxa" w:w="2097"/>
          </w:tcPr>
          <w:p>
            <w:r>
              <w:t>Logistic Regression</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0.5014</w:t>
            </w:r>
          </w:p>
        </w:tc>
        <w:tc>
          <w:tcPr>
            <w:tcW w:type="dxa" w:w="1033"/>
          </w:tcPr>
          <w:p>
            <w:r>
              <w:t>0.25</w:t>
            </w:r>
          </w:p>
        </w:tc>
      </w:tr>
      <w:tr>
        <w:tc>
          <w:tcPr>
            <w:tcW w:type="dxa" w:w="2097"/>
          </w:tcPr>
          <w:p>
            <w:r>
              <w:t>K-Nearest Neighbors (KNN)</w:t>
            </w:r>
          </w:p>
        </w:tc>
        <w:tc>
          <w:tcPr>
            <w:tcW w:type="dxa" w:w="1053"/>
          </w:tcPr>
          <w:p>
            <w:r>
              <w:t>70.25%</w:t>
            </w:r>
          </w:p>
        </w:tc>
        <w:tc>
          <w:tcPr>
            <w:tcW w:type="dxa" w:w="1023"/>
          </w:tcPr>
          <w:p>
            <w:r>
              <w:t>53.66%</w:t>
            </w:r>
          </w:p>
        </w:tc>
        <w:tc>
          <w:tcPr>
            <w:tcW w:type="dxa" w:w="1075"/>
          </w:tcPr>
          <w:p>
            <w:r>
              <w:t>39.51%</w:t>
            </w:r>
          </w:p>
        </w:tc>
        <w:tc>
          <w:tcPr>
            <w:tcW w:type="dxa" w:w="1023"/>
          </w:tcPr>
          <w:p>
            <w:r>
              <w:t>31.49%</w:t>
            </w:r>
          </w:p>
        </w:tc>
        <w:tc>
          <w:tcPr>
            <w:tcW w:type="dxa" w:w="1023"/>
          </w:tcPr>
          <w:p>
            <w:r>
              <w:t>35.04%</w:t>
            </w:r>
          </w:p>
        </w:tc>
        <w:tc>
          <w:tcPr>
            <w:tcW w:type="dxa" w:w="1002"/>
          </w:tcPr>
          <w:p>
            <w:r>
              <w:t>0.5021</w:t>
            </w:r>
          </w:p>
        </w:tc>
        <w:tc>
          <w:tcPr>
            <w:tcW w:type="dxa" w:w="1033"/>
          </w:tcPr>
          <w:p>
            <w:r>
              <w:t>0.02</w:t>
            </w:r>
          </w:p>
        </w:tc>
      </w:tr>
      <w:tr>
        <w:tc>
          <w:tcPr>
            <w:tcW w:type="dxa" w:w="2097"/>
          </w:tcPr>
          <w:p>
            <w:r>
              <w:t>Decision Tree</w:t>
            </w:r>
          </w:p>
        </w:tc>
        <w:tc>
          <w:tcPr>
            <w:tcW w:type="dxa" w:w="1053"/>
          </w:tcPr>
          <w:p>
            <w:r>
              <w:t>100.00%</w:t>
            </w:r>
          </w:p>
        </w:tc>
        <w:tc>
          <w:tcPr>
            <w:tcW w:type="dxa" w:w="1023"/>
          </w:tcPr>
          <w:p>
            <w:r>
              <w:t>51.12%</w:t>
            </w:r>
          </w:p>
        </w:tc>
        <w:tc>
          <w:tcPr>
            <w:tcW w:type="dxa" w:w="1075"/>
          </w:tcPr>
          <w:p>
            <w:r>
              <w:t>39.00%</w:t>
            </w:r>
          </w:p>
        </w:tc>
        <w:tc>
          <w:tcPr>
            <w:tcW w:type="dxa" w:w="1023"/>
          </w:tcPr>
          <w:p>
            <w:r>
              <w:t>41.01%</w:t>
            </w:r>
          </w:p>
        </w:tc>
        <w:tc>
          <w:tcPr>
            <w:tcW w:type="dxa" w:w="1023"/>
          </w:tcPr>
          <w:p>
            <w:r>
              <w:t>39.98%</w:t>
            </w:r>
          </w:p>
        </w:tc>
        <w:tc>
          <w:tcPr>
            <w:tcW w:type="dxa" w:w="1002"/>
          </w:tcPr>
          <w:p>
            <w:r>
              <w:t>0.4939</w:t>
            </w:r>
          </w:p>
        </w:tc>
        <w:tc>
          <w:tcPr>
            <w:tcW w:type="dxa" w:w="1033"/>
          </w:tcPr>
          <w:p>
            <w:r>
              <w:t>0.65</w:t>
            </w:r>
          </w:p>
        </w:tc>
      </w:tr>
      <w:tr>
        <w:tc>
          <w:tcPr>
            <w:tcW w:type="dxa" w:w="2097"/>
          </w:tcPr>
          <w:p>
            <w:r>
              <w:t>Random Forest</w:t>
            </w:r>
          </w:p>
        </w:tc>
        <w:tc>
          <w:tcPr>
            <w:tcW w:type="dxa" w:w="1053"/>
          </w:tcPr>
          <w:p>
            <w:r>
              <w:t>100.00%</w:t>
            </w:r>
          </w:p>
        </w:tc>
        <w:tc>
          <w:tcPr>
            <w:tcW w:type="dxa" w:w="1023"/>
          </w:tcPr>
          <w:p>
            <w:r>
              <w:t>59.90%</w:t>
            </w:r>
          </w:p>
        </w:tc>
        <w:tc>
          <w:tcPr>
            <w:tcW w:type="dxa" w:w="1075"/>
          </w:tcPr>
          <w:p>
            <w:r>
              <w:t>41.45%</w:t>
            </w:r>
          </w:p>
        </w:tc>
        <w:tc>
          <w:tcPr>
            <w:tcW w:type="dxa" w:w="1023"/>
          </w:tcPr>
          <w:p>
            <w:r>
              <w:t>2.44%</w:t>
            </w:r>
          </w:p>
        </w:tc>
        <w:tc>
          <w:tcPr>
            <w:tcW w:type="dxa" w:w="1023"/>
          </w:tcPr>
          <w:p>
            <w:r>
              <w:t>4.61%</w:t>
            </w:r>
          </w:p>
        </w:tc>
        <w:tc>
          <w:tcPr>
            <w:tcW w:type="dxa" w:w="1002"/>
          </w:tcPr>
          <w:p>
            <w:r>
              <w:t>0.5140</w:t>
            </w:r>
          </w:p>
        </w:tc>
        <w:tc>
          <w:tcPr>
            <w:tcW w:type="dxa" w:w="1033"/>
          </w:tcPr>
          <w:p>
            <w:r>
              <w:t>3.00</w:t>
            </w:r>
          </w:p>
        </w:tc>
      </w:tr>
      <w:tr>
        <w:tc>
          <w:tcPr>
            <w:tcW w:type="dxa" w:w="2097"/>
          </w:tcPr>
          <w:p>
            <w:r>
              <w:t>XGBoost</w:t>
            </w:r>
          </w:p>
        </w:tc>
        <w:tc>
          <w:tcPr>
            <w:tcW w:type="dxa" w:w="1053"/>
          </w:tcPr>
          <w:p>
            <w:r>
              <w:t>85.28%</w:t>
            </w:r>
          </w:p>
        </w:tc>
        <w:tc>
          <w:tcPr>
            <w:tcW w:type="dxa" w:w="1023"/>
          </w:tcPr>
          <w:p>
            <w:r>
              <w:t>56.07%</w:t>
            </w:r>
          </w:p>
        </w:tc>
        <w:tc>
          <w:tcPr>
            <w:tcW w:type="dxa" w:w="1075"/>
          </w:tcPr>
          <w:p>
            <w:r>
              <w:t>40.61%</w:t>
            </w:r>
          </w:p>
        </w:tc>
        <w:tc>
          <w:tcPr>
            <w:tcW w:type="dxa" w:w="1023"/>
          </w:tcPr>
          <w:p>
            <w:r>
              <w:t>23.05%</w:t>
            </w:r>
          </w:p>
        </w:tc>
        <w:tc>
          <w:tcPr>
            <w:tcW w:type="dxa" w:w="1023"/>
          </w:tcPr>
          <w:p>
            <w:r>
              <w:t>29.41%</w:t>
            </w:r>
          </w:p>
        </w:tc>
        <w:tc>
          <w:tcPr>
            <w:tcW w:type="dxa" w:w="1002"/>
          </w:tcPr>
          <w:p>
            <w:r>
              <w:t>0.5092</w:t>
            </w:r>
          </w:p>
        </w:tc>
        <w:tc>
          <w:tcPr>
            <w:tcW w:type="dxa" w:w="1033"/>
          </w:tcPr>
          <w:p>
            <w:r>
              <w:t>0.72</w:t>
            </w:r>
          </w:p>
        </w:tc>
      </w:tr>
      <w:tr>
        <w:tc>
          <w:tcPr>
            <w:tcW w:type="dxa" w:w="2097"/>
          </w:tcPr>
          <w:p>
            <w:r>
              <w:t>SVM (Bagging Ensemble)</w:t>
            </w:r>
          </w:p>
        </w:tc>
        <w:tc>
          <w:tcPr>
            <w:tcW w:type="dxa" w:w="1053"/>
          </w:tcPr>
          <w:p>
            <w:r>
              <w:t>60.48%</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0.5143</w:t>
            </w:r>
          </w:p>
        </w:tc>
        <w:tc>
          <w:tcPr>
            <w:tcW w:type="dxa" w:w="1033"/>
          </w:tcPr>
          <w:p>
            <w:r>
              <w:t>19.83</w:t>
            </w:r>
          </w:p>
        </w:tc>
      </w:tr>
      <w:tr>
        <w:tc>
          <w:tcPr>
            <w:tcW w:type="dxa" w:w="2097"/>
          </w:tcPr>
          <w:p>
            <w:r>
              <w:t>LightGBM</w:t>
            </w:r>
          </w:p>
        </w:tc>
        <w:tc>
          <w:tcPr>
            <w:tcW w:type="dxa" w:w="1053"/>
          </w:tcPr>
          <w:p>
            <w:r>
              <w:t>60.40%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0.5010</w:t>
            </w:r>
          </w:p>
        </w:tc>
        <w:tc>
          <w:tcPr>
            <w:tcW w:type="dxa" w:w="1033"/>
          </w:tcPr>
          <w:p>
            <w:r>
              <w:t>0.45</w:t>
            </w:r>
          </w:p>
        </w:tc>
      </w:tr>
      <w:tr>
        <w:tc>
          <w:tcPr>
            <w:tcW w:type="dxa" w:w="2097"/>
          </w:tcPr>
          <w:p>
            <w:r>
              <w:t>CatBoost</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0.5005</w:t>
            </w:r>
          </w:p>
        </w:tc>
        <w:tc>
          <w:tcPr>
            <w:tcW w:type="dxa" w:w="1033"/>
          </w:tcPr>
          <w:p>
            <w:r>
              <w:t>0.98</w:t>
            </w:r>
          </w:p>
        </w:tc>
      </w:tr>
      <w:tr>
        <w:tc>
          <w:tcPr>
            <w:tcW w:type="dxa" w:w="2097"/>
          </w:tcPr>
          <w:p>
            <w:r>
              <w:t>Multi-Layer Perceptron (MLP)</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4.20</w:t>
            </w:r>
          </w:p>
        </w:tc>
      </w:tr>
      <w:tr>
        <w:tc>
          <w:tcPr>
            <w:tcW w:type="dxa" w:w="2097"/>
          </w:tcPr>
          <w:p>
            <w:r>
              <w:t>Balanced Random Forest</w:t>
            </w:r>
          </w:p>
        </w:tc>
        <w:tc>
          <w:tcPr>
            <w:tcW w:type="dxa" w:w="1053"/>
          </w:tcPr>
          <w:p>
            <w:r>
              <w:t>62.45%</w:t>
            </w:r>
          </w:p>
        </w:tc>
        <w:tc>
          <w:tcPr>
            <w:tcW w:type="dxa" w:w="1023"/>
          </w:tcPr>
          <w:p>
            <w:r>
              <w:t>54.10%</w:t>
            </w:r>
          </w:p>
        </w:tc>
        <w:tc>
          <w:tcPr>
            <w:tcW w:type="dxa" w:w="1075"/>
          </w:tcPr>
          <w:p>
            <w:r>
              <w:t>39.85%</w:t>
            </w:r>
          </w:p>
        </w:tc>
        <w:tc>
          <w:tcPr>
            <w:tcW w:type="dxa" w:w="1023"/>
          </w:tcPr>
          <w:p>
            <w:r>
              <w:t>44.60%</w:t>
            </w:r>
          </w:p>
        </w:tc>
        <w:tc>
          <w:tcPr>
            <w:tcW w:type="dxa" w:w="1023"/>
          </w:tcPr>
          <w:p>
            <w:r>
              <w:t>42.09%</w:t>
            </w:r>
          </w:p>
        </w:tc>
        <w:tc>
          <w:tcPr>
            <w:tcW w:type="dxa" w:w="1002"/>
          </w:tcPr>
          <w:p>
            <w:r>
              <w:t>0.5042</w:t>
            </w:r>
          </w:p>
        </w:tc>
        <w:tc>
          <w:tcPr>
            <w:tcW w:type="dxa" w:w="1033"/>
          </w:tcPr>
          <w:p>
            <w:r>
              <w:t>2.10</w:t>
            </w:r>
          </w:p>
        </w:tc>
      </w:tr>
      <w:tr>
        <w:tc>
          <w:tcPr>
            <w:tcW w:type="dxa" w:w="2097"/>
          </w:tcPr>
          <w:p>
            <w:r>
              <w:t>Collaborative Filtering (Cosine KNN)</w:t>
            </w:r>
          </w:p>
        </w:tc>
        <w:tc>
          <w:tcPr>
            <w:tcW w:type="dxa" w:w="1053"/>
          </w:tcPr>
          <w:p>
            <w:r>
              <w:t>69.80%</w:t>
            </w:r>
          </w:p>
        </w:tc>
        <w:tc>
          <w:tcPr>
            <w:tcW w:type="dxa" w:w="1023"/>
          </w:tcPr>
          <w:p>
            <w:r>
              <w:t>53.20%</w:t>
            </w:r>
          </w:p>
        </w:tc>
        <w:tc>
          <w:tcPr>
            <w:tcW w:type="dxa" w:w="1075"/>
          </w:tcPr>
          <w:p>
            <w:r>
              <w:t>39.10%</w:t>
            </w:r>
          </w:p>
        </w:tc>
        <w:tc>
          <w:tcPr>
            <w:tcW w:type="dxa" w:w="1023"/>
          </w:tcPr>
          <w:p>
            <w:r>
              <w:t>33.40%</w:t>
            </w:r>
          </w:p>
        </w:tc>
        <w:tc>
          <w:tcPr>
            <w:tcW w:type="dxa" w:w="1023"/>
          </w:tcPr>
          <w:p>
            <w:r>
              <w:t>36.03%</w:t>
            </w:r>
          </w:p>
        </w:tc>
        <w:tc>
          <w:tcPr>
            <w:tcW w:type="dxa" w:w="1002"/>
          </w:tcPr>
          <w:p>
            <w:r>
              <w:t>0.5018</w:t>
            </w:r>
          </w:p>
        </w:tc>
        <w:tc>
          <w:tcPr>
            <w:tcW w:type="dxa" w:w="1033"/>
          </w:tcPr>
          <w:p>
            <w:r>
              <w:t>0.08</w:t>
            </w:r>
          </w:p>
        </w:tc>
      </w:tr>
      <w:tr>
        <w:tc>
          <w:tcPr>
            <w:tcW w:type="dxa" w:w="2097"/>
          </w:tcPr>
          <w:p>
            <w:r>
              <w:t>FT-Transformer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5.80</w:t>
            </w:r>
          </w:p>
        </w:tc>
      </w:tr>
      <w:tr>
        <w:tc>
          <w:tcPr>
            <w:tcW w:type="dxa" w:w="2097"/>
          </w:tcPr>
          <w:p>
            <w:r>
              <w:t>SAINT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6.20</w:t>
            </w:r>
          </w:p>
        </w:tc>
      </w:tr>
      <w:tr>
        <w:tc>
          <w:tcPr>
            <w:tcW w:type="dxa" w:w="2097"/>
          </w:tcPr>
          <w:p>
            <w:r>
              <w:t>NODE (PyTorch)</w:t>
            </w:r>
          </w:p>
        </w:tc>
        <w:tc>
          <w:tcPr>
            <w:tcW w:type="dxa" w:w="1053"/>
          </w:tcPr>
          <w:p>
            <w:r>
              <w:t>60.30%</w:t>
            </w:r>
          </w:p>
        </w:tc>
        <w:tc>
          <w:tcPr>
            <w:tcW w:type="dxa" w:w="1023"/>
          </w:tcPr>
          <w:p>
            <w:r>
              <w:t>60.30%</w:t>
            </w:r>
          </w:p>
        </w:tc>
        <w:tc>
          <w:tcPr>
            <w:tcW w:type="dxa" w:w="1075"/>
          </w:tcPr>
          <w:p>
            <w:r>
              <w:t>0.00%</w:t>
            </w:r>
          </w:p>
        </w:tc>
        <w:tc>
          <w:tcPr>
            <w:tcW w:type="dxa" w:w="1023"/>
          </w:tcPr>
          <w:p>
            <w:r>
              <w:t>0.00%</w:t>
            </w:r>
          </w:p>
        </w:tc>
        <w:tc>
          <w:tcPr>
            <w:tcW w:type="dxa" w:w="1023"/>
          </w:tcPr>
          <w:p>
            <w:r>
              <w:t>0.00%</w:t>
            </w:r>
          </w:p>
        </w:tc>
        <w:tc>
          <w:tcPr>
            <w:tcW w:type="dxa" w:w="1002"/>
          </w:tcPr>
          <w:p>
            <w:r>
              <w:t>0.5000</w:t>
            </w:r>
          </w:p>
        </w:tc>
        <w:tc>
          <w:tcPr>
            <w:tcW w:type="dxa" w:w="1033"/>
          </w:tcPr>
          <w:p>
            <w:r>
              <w:t>7.50</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the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14:paraId="7E800E28" w14:textId="77777777" w:rsidR="008E7F84" w:rsidRDefault="00000000">
      <w:pPr>
        <w:keepNext/>
        <w:spacing w:before="240" w:after="80"/>
      </w:pPr>
      <w:r>
        <w:rPr>
          <w:b/>
          <w:color w:val="2F5597"/>
        </w:rPr>
        <w:t>4.3 Hyperparameter Tuning and Optimization</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14:paraId="64B49D5F" w14:textId="77777777" w:rsidR="008E7F84" w:rsidRDefault="00000000">
      <w:pPr>
        <w:keepNext/>
        <w:spacing w:before="240" w:after="80"/>
      </w:pPr>
      <w:r>
        <w:rPr>
          <w:b/>
          <w:color w:val="2F5597"/>
        </w:rPr>
        <w:t>5.3 Demographic Parity and Fairness Analysis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r>
              <w:t>Section 8 — Pre-Training Checklist &amp; SMOTE</w:t>
            </w:r>
          </w:p>
        </w:tc>
        <w:tc>
          <w:tcPr>
            <w:tcW w:w="2160" w:type="dxa"/>
          </w:tcPr>
          <w:p>
            <w:r>
              <w:t>Cells 68–70</w:t>
            </w:r>
          </w:p>
        </w:tc>
        <w:tc>
          <w:tcPr>
            <w:tcW w:w="4320" w:type="dxa"/>
          </w:tcPr>
          <w:p>
            <w:r>
              <w:t>Status summary + physical class balancing natively in the pipeline</w:t>
            </w:r>
          </w:p>
        </w:tc>
      </w:tr>
      <w:tr w:rsidR="008E7F84" w14:paraId="57294D8F" w14:textId="77777777">
        <w:tc>
          <w:tcPr>
            <w:tcW w:w="2880" w:type="dxa"/>
          </w:tcPr>
          <w:p>
            <w:r>
              <w:t>Section 9 — Model Training</w:t>
            </w:r>
          </w:p>
        </w:tc>
        <w:tc>
          <w:tcPr>
            <w:tcW w:w="2160" w:type="dxa"/>
          </w:tcPr>
          <w:p>
            <w:r>
              <w:t>Cells 71–91</w:t>
            </w:r>
          </w:p>
        </w:tc>
        <w:tc>
          <w:tcPr>
            <w:tcW w:w="4320" w:type="dxa"/>
          </w:tcPr>
          <w:p>
            <w:r>
              <w:t>Training of 14 baseline/advanced models; evaluations of CV, learning curves, ROC, and CM.</w:t>
            </w:r>
          </w:p>
        </w:tc>
      </w:tr>
      <w:tr w:rsidR="008E7F84" w14:paraId="13B0EDB0" w14:textId="77777777">
        <w:tc>
          <w:tcPr>
            <w:tcW w:w="2880" w:type="dxa"/>
          </w:tcPr>
          <w:p>
            <w:r>
              <w:t>Section 10 — Hyperparameter Tuning</w:t>
            </w:r>
          </w:p>
        </w:tc>
        <w:tc>
          <w:tcPr>
            <w:tcW w:w="2160" w:type="dxa"/>
          </w:tcPr>
          <w:p>
            <w:r>
              <w:t>Cells 92–104</w:t>
            </w:r>
          </w:p>
        </w:tc>
        <w:tc>
          <w:tcPr>
            <w:tcW w:w="4320" w:type="dxa"/>
          </w:tcPr>
          <w:p>
            <w:r>
              <w:t>RandomizedSearchCV tuning grids and 1,000-trial GPU Optuna search loops.</w:t>
            </w:r>
          </w:p>
        </w:tc>
      </w:tr>
      <w:tr w:rsidR="008E7F84" w14:paraId="1E541E69" w14:textId="77777777">
        <w:tc>
          <w:tcPr>
            <w:tcW w:w="2880" w:type="dxa"/>
          </w:tcPr>
          <w:p>
            <w:r>
              <w:t>Section 11 — Feature Importance</w:t>
            </w:r>
          </w:p>
        </w:tc>
        <w:tc>
          <w:tcPr>
            <w:tcW w:w="2160" w:type="dxa"/>
          </w:tcPr>
          <w:p>
            <w:r>
              <w:t>Cells 105–107</w:t>
            </w:r>
          </w:p>
        </w:tc>
        <w:tc>
          <w:tcPr>
            <w:tcW w:w="4320" w:type="dxa"/>
          </w:tcPr>
          <w:p>
            <w:r>
              <w:t>Feature weight extractions and bar visualizations on best estimators.</w:t>
            </w:r>
          </w:p>
        </w:tc>
      </w:tr>
      <w:tr w:rsidR="008E7F84" w14:paraId="47218508" w14:textId="77777777">
        <w:tc>
          <w:tcPr>
            <w:tcW w:w="2880" w:type="dxa"/>
          </w:tcPr>
          <w:p>
            <w:r>
              <w:t>Section 12 — Ethical Considerations</w:t>
            </w:r>
          </w:p>
        </w:tc>
        <w:tc>
          <w:tcPr>
            <w:tcW w:w="2160" w:type="dxa"/>
          </w:tcPr>
          <w:p>
            <w:r>
              <w:t>Cells 108–109</w:t>
            </w:r>
          </w:p>
        </w:tc>
        <w:tc>
          <w:tcPr>
            <w:tcW w:w="4320" w:type="dxa"/>
          </w:tcPr>
          <w:p>
            <w:r>
              <w:t>Moral reflections, gender-parity checks, and accuracy disparity audits.</w:t>
            </w:r>
          </w:p>
        </w:tc>
      </w:tr>
      <w:tr w:rsidR="008E7F84" w14:paraId="378BCB19" w14:textId="77777777">
        <w:tc>
          <w:tcPr>
            <w:tcW w:w="2880" w:type="dxa"/>
          </w:tcPr>
          <w:p>
            <w:r>
              <w:t>Section 13 — Final Summary</w:t>
            </w:r>
          </w:p>
        </w:tc>
        <w:tc>
          <w:tcPr>
            <w:tcW w:w="2160" w:type="dxa"/>
          </w:tcPr>
          <w:p>
            <w:r>
              <w:t>Cells 110–112</w:t>
            </w:r>
          </w:p>
        </w:tc>
        <w:tc>
          <w:tcPr>
            <w:tcW w:w="4320" w:type="dxa"/>
          </w:tcPr>
          <w:p>
            <w:r>
              <w:t>Comparative score tabulations and final models rankings by F1 scores.</w:t>
            </w:r>
          </w:p>
        </w:tc>
      </w:tr>
      <w:tr w:rsidR="008E7F84" w14:paraId="3F089A1D" w14:textId="77777777">
        <w:tc>
          <w:tcPr>
            <w:tcW w:w="2880" w:type="dxa"/>
          </w:tcPr>
          <w:p>
            <w:r>
              <w:t>Section 14 — AutoML Comparison</w:t>
            </w:r>
          </w:p>
        </w:tc>
        <w:tc>
          <w:tcPr>
            <w:tcW w:w="2160" w:type="dxa"/>
          </w:tcPr>
          <w:p>
            <w:r>
              <w:t>Cells 113–115</w:t>
            </w:r>
          </w:p>
        </w:tc>
        <w:tc>
          <w:tcPr>
            <w:tcW w:w="4320" w:type="dxa"/>
          </w:tcPr>
          <w:p>
            <w:r>
              <w:t>FLAML and PyCaret pipelines evaluation; benchmarking validation.</w:t>
            </w:r>
          </w:p>
        </w:tc>
      </w:tr>
      <w:tr w:rsidR="008E7F84" w14:paraId="1DB4A3B0" w14:textId="77777777">
        <w:tc>
          <w:tcPr>
            <w:tcW w:w="2880" w:type="dxa"/>
          </w:tcPr>
          <w:p>
            <w:r>
              <w:t>Section 15 — Pipeline Summary</w:t>
            </w:r>
          </w:p>
        </w:tc>
        <w:tc>
          <w:tcPr>
            <w:tcW w:w="2160" w:type="dxa"/>
          </w:tcPr>
          <w:p>
            <w:r>
              <w:t>Cell 116</w:t>
            </w:r>
          </w:p>
        </w:tc>
        <w:tc>
          <w:tcPr>
            <w:tcW w:w="4320" w:type="dxa"/>
          </w:tcPr>
          <w:p>
            <w:r>
              <w:t>Hardware resource management, compute bottlenecks, and AMD iGPU setups.</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r>
        <w:tc>
          <w:tcPr>
            <w:tcW w:type="dxa" w:w="1869"/>
          </w:tcPr>
          <w:p>
            <w:r>
              <w:t>SMOTE Class Balancing</w:t>
            </w:r>
          </w:p>
        </w:tc>
        <w:tc>
          <w:tcPr>
            <w:tcW w:type="dxa" w:w="1590"/>
          </w:tcPr>
          <w:p>
            <w:r>
              <w:t>Preprocessing &amp; Class Imbalance</w:t>
            </w:r>
          </w:p>
        </w:tc>
        <w:tc>
          <w:tcPr>
            <w:tcW w:type="dxa" w:w="1820"/>
          </w:tcPr>
          <w:p>
            <w:r>
              <w:t>Class split imbalance causes baseline estimators to bias towards predicting majority target (60.3%).</w:t>
            </w:r>
          </w:p>
        </w:tc>
        <w:tc>
          <w:tcPr>
            <w:tcW w:type="dxa" w:w="2135"/>
          </w:tcPr>
          <w:p>
            <w:r>
              <w:t>Implemented imblearn.over_sampling.SMOTE natively in the training pipeline before model fitting.</w:t>
            </w:r>
          </w:p>
        </w:tc>
        <w:tc>
          <w:tcPr>
            <w:tcW w:type="dxa" w:w="1915"/>
          </w:tcPr>
          <w:p>
            <w:r>
              <w:t>Balanced the training split to a perfect 50/50 ratio, preventing majority-class shortcut bias and enabling non-zero recall/F1 scores.</w:t>
            </w:r>
          </w:p>
        </w:tc>
      </w:tr>
      <w:tr>
        <w:tc>
          <w:tcPr>
            <w:tcW w:type="dxa" w:w="1869"/>
          </w:tcPr>
          <w:p>
            <w:r>
              <w:t>Champion Stacking Ensemble</w:t>
            </w:r>
          </w:p>
        </w:tc>
        <w:tc>
          <w:tcPr>
            <w:tcW w:type="dxa" w:w="1590"/>
          </w:tcPr>
          <w:p>
            <w:r>
              <w:t>Ensemble Modeling</w:t>
            </w:r>
          </w:p>
        </w:tc>
        <w:tc>
          <w:tcPr>
            <w:tcW w:type="dxa" w:w="1820"/>
          </w:tcPr>
          <w:p>
            <w:r>
              <w:t>Individual baseline models capture distinct patterns but struggle to generalize robustly on tabular data.</w:t>
            </w:r>
          </w:p>
        </w:tc>
        <w:tc>
          <w:tcPr>
            <w:tcW w:type="dxa" w:w="2135"/>
          </w:tcPr>
          <w:p>
            <w:r>
              <w:t>Built a StackingClassifier combining XGBoost, LightGBM, and CatBoost with a balanced Logistic Regression meta-learner.</w:t>
            </w:r>
          </w:p>
        </w:tc>
        <w:tc>
          <w:tcPr>
            <w:tcW w:type="dxa" w:w="1915"/>
          </w:tcPr>
          <w:p>
            <w:r>
              <w:t>Ensembles multiple diverse estimators to improve voting stability and robustness.</w:t>
            </w:r>
          </w:p>
        </w:tc>
      </w:tr>
      <w:tr>
        <w:tc>
          <w:tcPr>
            <w:tcW w:type="dxa" w:w="1869"/>
          </w:tcPr>
          <w:p>
            <w:r>
              <w:t>Dynamic Hardware Auto-Detection Engine</w:t>
            </w:r>
          </w:p>
        </w:tc>
        <w:tc>
          <w:tcPr>
            <w:tcW w:type="dxa" w:w="1590"/>
          </w:tcPr>
          <w:p>
            <w:r>
              <w:t>Compute &amp; Cross-Device Execution</w:t>
            </w:r>
          </w:p>
        </w:tc>
        <w:tc>
          <w:tcPr>
            <w:tcW w:type="dxa" w:w="1820"/>
          </w:tcPr>
          <w:p>
            <w:r>
              <w:t>Pipeline execution crashes or slows down when running on different GPUs or fallback devices across teammate environments.</w:t>
            </w:r>
          </w:p>
        </w:tc>
        <w:tc>
          <w:tcPr>
            <w:tcW w:type="dxa" w:w="2135"/>
          </w:tcPr>
          <w:p>
            <w:r>
              <w:t>Programmed a dynamic hardware auto-detection engine that dynamically routes PyTorch execution to NVIDIA CUDA, AMD Radeon DirectML, or standard CPU fallback.</w:t>
            </w:r>
          </w:p>
        </w:tc>
        <w:tc>
          <w:tcPr>
            <w:tcW w:type="dxa" w:w="1915"/>
          </w:tcPr>
          <w:p>
            <w:r>
              <w:t>Provides cross-device compatibility, letting any teammate run the notebook on their available hardware without modifications.</w:t>
            </w:r>
          </w:p>
        </w:tc>
      </w:tr>
      <w:tr>
        <w:tc>
          <w:tcPr>
            <w:tcW w:type="dxa" w:w="1869"/>
          </w:tcPr>
          <w:p>
            <w:r>
              <w:t>Custom PyTorch Sklearn Wrapper</w:t>
            </w:r>
          </w:p>
        </w:tc>
        <w:tc>
          <w:tcPr>
            <w:tcW w:type="dxa" w:w="1590"/>
          </w:tcPr>
          <w:p>
            <w:r>
              <w:t>Workflow Compatibility</w:t>
            </w:r>
          </w:p>
        </w:tc>
        <w:tc>
          <w:tcPr>
            <w:tcW w:type="dxa" w:w="1820"/>
          </w:tcPr>
          <w:p>
            <w:r>
              <w:t>Custom PyTorch architectures cannot natively run inside scikit-learn cross-validation, metric generators, or parameter tuning loops.</w:t>
            </w:r>
          </w:p>
        </w:tc>
        <w:tc>
          <w:tcPr>
            <w:tcW w:type="dxa" w:w="2135"/>
          </w:tcPr>
          <w:p>
            <w:r>
              <w:t>Created a custom sklearn-compatible wrapper class inheriting from BaseEstimator and ClassifierMixin to wrap PyTorch architectures.</w:t>
            </w:r>
          </w:p>
        </w:tc>
        <w:tc>
          <w:tcPr>
            <w:tcW w:type="dxa" w:w="1915"/>
          </w:tcPr>
          <w:p>
            <w:r>
              <w:t>Integrates neural models natively into standard evaluation loops, comparisons, and scoring pipelines.</w:t>
            </w:r>
          </w:p>
        </w:tc>
      </w:tr>
      <w:tr>
        <w:tc>
          <w:tcPr>
            <w:tcW w:type="dxa" w:w="1869"/>
          </w:tcPr>
          <w:p>
            <w:r>
              <w:t>1,000-Trial GPU-Accelerated Optuna Search</w:t>
            </w:r>
          </w:p>
        </w:tc>
        <w:tc>
          <w:tcPr>
            <w:tcW w:type="dxa" w:w="1590"/>
          </w:tcPr>
          <w:p>
            <w:r>
              <w:t>Hyperparameter Tuning</w:t>
            </w:r>
          </w:p>
        </w:tc>
        <w:tc>
          <w:tcPr>
            <w:tcW w:type="dxa" w:w="1820"/>
          </w:tcPr>
          <w:p>
            <w:r>
              <w:t>Standard grid searches are slow, low-coverage, and cannot leverage GPU acceleration for tree-based models.</w:t>
            </w:r>
          </w:p>
        </w:tc>
        <w:tc>
          <w:tcPr>
            <w:tcW w:type="dxa" w:w="2135"/>
          </w:tcPr>
          <w:p>
            <w:r>
              <w:t>Integrated Optuna with GPU-accelerated histogram algorithms to perform a massive 1,000-trial hyperparameter search.</w:t>
            </w:r>
          </w:p>
        </w:tc>
        <w:tc>
          <w:tcPr>
            <w:tcW w:type="dxa" w:w="1915"/>
          </w:tcPr>
          <w:p>
            <w:r>
              <w:t>Identified optimal parameters in under 4 minutes, ensuring highly rigorous and complete optimization audits.</w:t>
            </w:r>
          </w:p>
        </w:tc>
      </w:tr>
      <w:tr>
        <w:tc>
          <w:tcPr>
            <w:tcW w:type="dxa" w:w="1869"/>
          </w:tcPr>
          <w:p>
            <w:r>
              <w:t>SVM-only Bypass and models_advanced Routing</w:t>
            </w:r>
          </w:p>
        </w:tc>
        <w:tc>
          <w:tcPr>
            <w:tcW w:type="dxa" w:w="1590"/>
          </w:tcPr>
          <w:p>
            <w:r>
              <w:t>Workflow Efficiency</w:t>
            </w:r>
          </w:p>
        </w:tc>
        <w:tc>
          <w:tcPr>
            <w:tcW w:type="dxa" w:w="1820"/>
          </w:tcPr>
          <w:p>
            <w:r>
              <w:t>Retraining the RBF SVM takes 30+ minutes, causing massive delays when retraining other models from scratch.</w:t>
            </w:r>
          </w:p>
        </w:tc>
        <w:tc>
          <w:tcPr>
            <w:tcW w:type="dxa" w:w="2135"/>
          </w:tcPr>
          <w:p>
            <w:r>
              <w:t>Redirected newly trained checkpoints to models_advanced/ and bypassed SVM training by reloading the original SVM weights from joblib.</w:t>
            </w:r>
          </w:p>
        </w:tc>
        <w:tc>
          <w:tcPr>
            <w:tcW w:type="dxa" w:w="1915"/>
          </w:tcPr>
          <w:p>
            <w:r>
              <w:t>Saves 30+ minutes of redundant training per run while allowing the rest of the 13 models to be retrained and validated from scratch.</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14 baseline and advanced classifiers (Logistic Regression, KNN, DT, RF, XGBoost, custom multi-threaded Bagging SVM, LightGBM, CatBoost, MLP, Balanced RF, Cosine KNN CF, FT-Transformer, SAINT, and NODE), after natively balancing the training split via SMOTE,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14:paraId="2E200176" w14:textId="62C4504F" w:rsidR="008E7F84" w:rsidRDefault="007949EA" w:rsidP="007949EA">
      <w:pPr>
        <w:spacing w:after="160"/>
        <w:ind w:left="720" w:hanging="720"/>
        <w:jc w:val="both"/>
      </w:pPr>
      <w:r>
        <w:rPr>
          <w:rFonts w:eastAsia="SimSun" w:hint="eastAsia"/>
          <w:sz w:val="22"/>
          <w:lang w:eastAsia="zh-CN"/>
        </w:rPr>
        <w:t>1</w:t>
      </w:r>
      <w:proofErr w:type="gramStart"/>
      <w:r>
        <w:rPr>
          <w:rFonts w:eastAsia="SimSun" w:hint="eastAsia"/>
          <w:sz w:val="22"/>
          <w:lang w:eastAsia="zh-CN"/>
        </w:rPr>
        <w:t xml:space="preserve">.  </w:t>
      </w:r>
      <w:r w:rsidR="00000000">
        <w:rPr>
          <w:sz w:val="22"/>
        </w:rPr>
        <w:t>Chen</w:t>
      </w:r>
      <w:proofErr w:type="gramEnd"/>
      <w:r w:rsidR="00000000">
        <w:rPr>
          <w:sz w:val="22"/>
        </w:rPr>
        <w:t>, T., &amp; Guestrin, C. (2016). XGBoost: A scalable tree boosting system. In Proceedings of the 22nd ACM SIGKDD International Conference on Knowledge Discovery and Data Mining (pp. 785-794). ACM. https://doi.org/10.1145/2939672.2939785</w:t>
      </w:r>
    </w:p>
    <w:p w14:paraId="1CE4DC6B" w14:textId="2A76E59D" w:rsidR="008E7F84" w:rsidRDefault="007949EA" w:rsidP="007949EA">
      <w:pPr>
        <w:spacing w:after="160"/>
        <w:ind w:left="720" w:hanging="720"/>
        <w:jc w:val="both"/>
      </w:pPr>
      <w:r>
        <w:rPr>
          <w:rFonts w:eastAsia="SimSun" w:hint="eastAsia"/>
          <w:sz w:val="22"/>
          <w:lang w:eastAsia="zh-CN"/>
        </w:rPr>
        <w:t xml:space="preserve">2. </w:t>
      </w:r>
      <w:r w:rsidR="00000000">
        <w:rPr>
          <w:sz w:val="22"/>
        </w:rPr>
        <w:t>Lundberg, S. M., &amp; Lee, S.-I. (2017). A unified approach to interpreting model predictions. In Advances in Neural Information Processing Systems (Vol. 30, pp. 4765-4774). Curran Associates, Inc.</w:t>
      </w:r>
    </w:p>
    <w:p w14:paraId="12E8B277" w14:textId="4AB28146" w:rsidR="008E7F84" w:rsidRDefault="007949EA" w:rsidP="007949EA">
      <w:pPr>
        <w:spacing w:after="160"/>
        <w:ind w:left="720" w:hanging="720"/>
        <w:jc w:val="both"/>
      </w:pPr>
      <w:r>
        <w:rPr>
          <w:rFonts w:eastAsia="SimSun" w:hint="eastAsia"/>
          <w:sz w:val="22"/>
          <w:lang w:eastAsia="zh-CN"/>
        </w:rPr>
        <w:t xml:space="preserve">3. </w:t>
      </w:r>
      <w:r w:rsidR="00000000">
        <w:rPr>
          <w:sz w:val="22"/>
        </w:rPr>
        <w:t xml:space="preserve">Nisar, K. (2026). Dating App Behavior </w:t>
      </w:r>
      <w:proofErr w:type="spellStart"/>
      <w:proofErr w:type="gramStart"/>
      <w:r w:rsidR="00000000">
        <w:rPr>
          <w:sz w:val="22"/>
        </w:rPr>
        <w:t>Dataset.Kaggle.https</w:t>
      </w:r>
      <w:proofErr w:type="spellEnd"/>
      <w:r w:rsidR="00000000">
        <w:rPr>
          <w:sz w:val="22"/>
        </w:rPr>
        <w:t>://www.kaggle.com/datasets/</w:t>
      </w:r>
      <w:proofErr w:type="gramEnd"/>
      <w:r>
        <w:rPr>
          <w:rFonts w:eastAsia="SimSun"/>
          <w:sz w:val="22"/>
          <w:lang w:eastAsia="zh-CN"/>
        </w:rPr>
        <w:br/>
      </w:r>
      <w:proofErr w:type="spellStart"/>
      <w:r w:rsidR="00000000">
        <w:rPr>
          <w:sz w:val="22"/>
        </w:rPr>
        <w:t>keyushnisar</w:t>
      </w:r>
      <w:proofErr w:type="spellEnd"/>
      <w:r w:rsidR="00000000">
        <w:rPr>
          <w:sz w:val="22"/>
        </w:rPr>
        <w:t>/dating-app-behavior-dataset</w:t>
      </w:r>
    </w:p>
    <w:p w14:paraId="04133E8D" w14:textId="2D06EE7C" w:rsidR="008E7F84" w:rsidRDefault="007949EA" w:rsidP="007949EA">
      <w:pPr>
        <w:spacing w:after="160"/>
        <w:ind w:left="720" w:hanging="720"/>
        <w:jc w:val="both"/>
      </w:pPr>
      <w:r>
        <w:rPr>
          <w:rFonts w:eastAsia="SimSun" w:hint="eastAsia"/>
          <w:sz w:val="22"/>
          <w:lang w:eastAsia="zh-CN"/>
        </w:rPr>
        <w:t xml:space="preserve">4. </w:t>
      </w:r>
      <w:r w:rsidR="00000000">
        <w:rPr>
          <w:sz w:val="22"/>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715346FD" w14:textId="7078854E" w:rsidR="008E7F84" w:rsidRDefault="007949EA" w:rsidP="007949EA">
      <w:pPr>
        <w:spacing w:after="160"/>
        <w:ind w:left="720" w:hanging="720"/>
        <w:jc w:val="both"/>
      </w:pPr>
      <w:r>
        <w:rPr>
          <w:rFonts w:eastAsia="SimSun" w:hint="eastAsia"/>
          <w:sz w:val="22"/>
          <w:lang w:eastAsia="zh-CN"/>
        </w:rPr>
        <w:t xml:space="preserve">5. </w:t>
      </w:r>
      <w:r w:rsidR="00000000">
        <w:rPr>
          <w:sz w:val="22"/>
        </w:rPr>
        <w:t>Universiti Malaya. (2026). WIA1006/WID3006 Machine Learning Group Assignment Guidelines. Faculty of Computer Science and Information Technology, University of Malaya.</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