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t>Tying the (Data) Knot: Predicting Meaningful Connections with Causal and Attentive Tabular Architectures (V5.1 SOTA Edition)</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the development, evaluation, and optimization of an end-to-end Machine Learning classification pipeline designed to predict meaningful relationship connections on a mobile dating application. Utilizing a 50,000-sample dataset, we preprocessed 25 variables through ordinal, one-hot, and multi-hot encodings, and established an unsupervised Isolation Forest Out-of-Distribution (OOD) rejection guardrail at the tail-end of preprocessing to safeguard downstream models. We conducted feature selection using a union of ANOVA F-scores, Mutual Information, and Boruta algorithms, selecting 67 features. Quantitative causal treatment effects were estimated using a custom two-stage residual Double Machine Learning (DML) causal engine. Sixteen baseline and advanced classifiers—including traditional baselines, GAT Graph Neural Networks, SCARF self-supervised contrastive learners, Opacus differentially private networks, TabPFN Zero-Shot Tabular Transformers, and a custom PyTorch Attentive Tabular Network (TabNet-style)—were trained and tuned using cross-validated RandomizedSearchCV, after natively balancing the training split via SMOTE. Validation was conducted via 5-fold cross-validation, paired t-tests, SHAP explainability analyses, demographic parity audits, Isotonic probability calibration, and Microsoft DiCE counterfactual recourse.</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pPr/>
      <w:r>
        <w:t>2.1.2 Transitioning from Predictive to Prescriptive Causal AI</w:t>
        <w:b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pPr/>
      <w:r>
        <w:t>2.1.1 Causal Loops and Confounding in Modern Romance</w:t>
        <w:b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pPr/>
      <w:r>
        <w:t>2.1.4 Causal Backdoor Adjustment and Structural Causal Models</w:t>
        <w:br/>
        <w:t>To establish a mathematically rigorous causal framework, we formulate our pipeline as a Structural Causal Model (SCM). Let $X$ represent the preprocessed profile features, $T$ represent the treatment (e.g. profile pics count), $Y$ represent the match outcome, and $W$ represent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br/>
        <w:t>$$P(Y|\text{do}(T)) = \sum_W P(Y|T, W) P(W)$$</w:t>
        <w:br/>
        <w:t>This formula allows us to mathematically isolate the causal impact of profile quality interventions, bypassing selection biases.</w:t>
      </w:r>
    </w:p>
    <w:p>
      <w:pPr/>
      <w:r>
        <w:t>2.1.3 Theoretical Framework of Causal Loop Mechanisms</w:t>
        <w:b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pPr>
        <w:pStyle w:val="ListParagraph"/>
      </w:pPr>
      <w:r>
        <w:t>8. OOD Rejection Guardrail: Applied an unsupervised Isolation Forest at the end of preprocessing to evaluate profile anomaly scores, flagging and rejecting out-of-distribution profile configurations at inference time to prevent downstream predictive failure.</w:t>
      </w:r>
    </w:p>
    <w:p w14:paraId="19C8D6AC" w14:textId="17A76E8D" w:rsidR="008E7F84" w:rsidRDefault="00000000" w:rsidP="002B3302">
      <w:pPr>
        <w:pStyle w:val="ListParagraph"/>
        <w:numPr>
          <w:ilvl w:val="0"/>
          <w:numId w:val="11"/>
        </w:numPr>
        <w:spacing w:after="120"/>
        <w:jc w:val="both"/>
      </w:pPr>
      <w:r>
        <w:t>6. Normalization: Applied a RobustScaler to all 12 numerical features (centering to median and scaling to interquartile range). This is mathematically vital for distance-based estimators and robust against extreme behavioral outliers.</w:t>
      </w:r>
    </w:p>
    <w:p>
      <w:pPr>
        <w:pStyle w:val="ListParagraph"/>
      </w:pPr>
      <w:r>
        <w:t>3.1.2 Theoretical Formulation of the Isolation Forest OOD Guardrail</w:t>
        <w:b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br/>
        <w:t>$$s(x, n) = 2^{-\frac{E(h(x))}{c(n)}}$$</w:t>
        <w:br/>
        <w:t>Where $E(h(x))$ is the average path length across all trees in the forest, and $c(n)$ is the average path length of an unsuccessful search in a Binary Search Tree built on $n$ samples. Observations returning $s(x, n) \ge 0.55$ are flagged as anomalous (OOD) and rejected automatically by the system, ensuring that the downstream classifiers are only served valid, in-distribution user profiles.</w:t>
      </w:r>
    </w:p>
    <w:p>
      <w:pPr>
        <w:pStyle w:val="ListParagraph"/>
      </w:pPr>
      <w:r>
        <w:t>3.1.1 Mathematical Formulation of the RobustScaler</w:t>
        <w:b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br/>
        <w:t>$$x' = \frac{x - \text{median}(x)}{IQR(x)} = \frac{x - q_{50}}{q_{75} - q_{25}}$$</w:t>
        <w:b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pPr/>
      <w:r>
        <w:t>3.2.1 Quantitative Causal Inference via Double Machine Learning (DML)</w:t>
        <w:br/>
        <w:t>While constraint-based causal structure discovery (such as the PC algorithm) allows us to construct a qualitative directed acyclic graph (DAG), it does not quantify the treatment effect of profile optimization. In dating platforms, it is crucial to know if investing effort in a profile (e.g. uploading more profile photos, treatment $T$) actually *causes* more matches ($Y$) or if the association is spurious. To estimate this, we implemented Double Machine Learning (DML), which residualizes out high-dimensional demographic and locational confounders ($W$, e.g. location, education, income) in a two-stage approach. First, we fit a propensity classifier to predict the treatment: $\tilde{T} = T - P(T|W)$. Second, we fit an outcome model: $\tilde{Y} = Y - E(Y|W)$. Finally, we regressed outcome residuals on treatment residuals: $\tilde{Y} = \theta \tilde{T}$ to isolate the Average Treatment Effect (ATE). We run 100 bootstrap iterations to compute standard errors and causal significance p-values.</w:t>
      </w:r>
    </w:p>
    <w:p>
      <w:pPr/>
      <w:r>
        <w:t>3.2.3 Statistical Bootstrapping and Standard Error Calibration</w:t>
        <w:br/>
        <w:t>To calculate statistically rigorous confidence intervals and verify whether the ATE coefficient $\theta$ is distinct from zero, we run 100 bootstrap iterations. In each iteration, we sample $N$ observations with replacement, re-orthogonalize the treatment and outcome variables, and fit the causal OLS model. This yields a bootstrap empirical distribution of $\theta$, from which we calculate the standard error ($SE$) and construct the 95% Confidence Interval: $[\theta - 1.96 \cdot SE, \theta + 1.96 \cdot SE]$. The resulting p-value confirms whether profile photo count carries a statistically significant causal effect on matching success.</w:t>
      </w:r>
    </w:p>
    <w:p>
      <w:pPr/>
      <w:r>
        <w:t>3.2.2 Propensity Orthogonalization and Residual Regression</w:t>
        <w:br/>
        <w:t>Simple multivariate regression models fail to isolate true causal effects due to high-dimensional selection bias (confounders $W$). Double Machine Learning (DML) solves this by using machine learning models to non-parametrically residualize out the confounders from both the treatment variable $T$ and the outcome $Y$, orthogonalizing their variances before performing causal estimation. The mathematical steps of our custom-coded DML residual engine are as follows:</w:t>
        <w:br/>
        <w:t>1. Propensity Residualization: We fit a Random Forest Classifier to predict the likelihood of receiving treatment based on confounders: $e(W) = P(T|W)$. The treatment residual is calculated as: $\tilde{T} = T - e(W)$. This represents the user-level treatment variation completely unassociated with locational, educational, or income demographics.</w:t>
        <w:br/>
        <w:t>2. Outcome Expectation Residualization: We fit a separate Random Forest Classifier to predict the match outcome based on confounders: $g(W) = E(Y|W)$. The outcome residual is calculated as: $\tilde{Y} = Y - g(W)$, representing the variation in match outcome unassociated with demographics.</w:t>
        <w:br/>
        <w:t>3. Causal Coefficient Regressing: Finally, we run an ordinary least squares regression without an intercept to estimate the Average Treatment Effect (ATE): $\tilde{Y} = \theta \tilde{T} + \epsilon$.</w:t>
        <w:br/>
        <w:t>By regressing residuals on residuals, the coefficient $\theta$ represents the true, unconfounded causal impact of profile quality on connection success.</w:t>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pPr>
        <w:pStyle w:val="ListParagraph"/>
      </w:pPr>
      <w:r>
        <w:t>LightGBM: A high-performance gradient boosting framework based on decision tree algorithms, utilizing histogram-based splits and leaf-wise growth.</w:t>
      </w:r>
    </w:p>
    <w:p>
      <w:pPr>
        <w:pStyle w:val="ListParagraph"/>
      </w:pPr>
      <w:r>
        <w:t>CatBoost: A gradient boosting library specifically optimized to natively handle categorical features robustly without extensive preprocessing.</w:t>
      </w:r>
    </w:p>
    <w:p>
      <w:pPr>
        <w:pStyle w:val="ListParagraph"/>
      </w:pPr>
      <w:r>
        <w:t>Multi-Layer Perceptron (MLP): A deep feedforward artificial neural network consisting of input, hidden, and output layers to capture complex non-linear relationships.</w:t>
      </w:r>
    </w:p>
    <w:p>
      <w:pPr>
        <w:pStyle w:val="ListParagraph"/>
      </w:pPr>
      <w:r>
        <w:t>Balanced Random Forest: An ensemble bagging classifier from imbalanced-learn that natively balances bootstrapped samples during tree building to prevent class bias.</w:t>
      </w:r>
    </w:p>
    <w:p>
      <w:pPr>
        <w:pStyle w:val="ListParagraph"/>
      </w:pPr>
      <w:r>
        <w:t>Collaborative Filtering (Cosine KNN CF): Configures a KNN classifier using the cosine similarity metric, acting as a similarity-based dating recommendation engine.</w:t>
      </w:r>
    </w:p>
    <w:p>
      <w:pPr>
        <w:pStyle w:val="ListParagraph"/>
      </w:pPr>
      <w:r>
        <w:t>TabNet Deep Learning: An attentive transformer-based tabular deep learning model that uses sequential attention to select salient features at each decision step, specifically optimized for structured data.</w:t>
      </w:r>
    </w:p>
    <w:p>
      <w:pPr>
        <w:pStyle w:val="ListParagraph"/>
      </w:pPr>
      <w:r>
        <w:t>Champion Stacking Ensemble: A meta-ensemble combining LightGBM, XGBoost, and CatBoost predictions using a balanced Logistic Regression meta-learner.</w:t>
      </w:r>
    </w:p>
    <w:p>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r>
        <w:t>SAINT (Self-Attention and Invariant Representation): Applies self-attention over the feature dimensions (across features) rather than just spatial dimensions, capturing non-linear relationships and cross-feature correlations on tabular inputs.</w:t>
      </w:r>
    </w:p>
    <w:p>
      <w:r>
        <w:t>NODE (Neural Oblivious Decision Ensembles): Integrates differentiable oblivious decision trees with entmax/softmax activations, allowing forest-based tabular networks to be trained natively via backpropagation on GPUs.</w:t>
      </w:r>
    </w:p>
    <w:p>
      <w:pPr/>
      <w:r>
        <w:t>3.3.1 [V5 SOTA] Advanced Neural Regularization &amp; Zero-Shot Transformers</w:t>
        <w:br/>
        <w:t>To elevate our tabular deep learning capabilities, we custom-programmed three cutting-edge architectural paradigms directly in PyTorch to avoid external library dependency issues on Windows:</w:t>
        <w:br/>
        <w:t>1. TabNet-style Attentive Neural Network: Features a dedicated AttentiveTransformer layer that dynamically outputs a sparse feature selection mask $M(x)$ per individual using a Softmax projection, masking continuous columns before feedforward layers. This maps individual column neural attention in explainable heatmaps.</w:t>
        <w:br/>
        <w:t>2. Zero-Shot Tabular Transformers (TabPFN): A tabular prior-data fitted network pre-trained on millions of synthetic datasets that approximates the true Bayesian posterior in a single forward pass without requiring gradient updates or downstream tuning.</w:t>
        <w:br/>
        <w:t>3. Label Smoothing &amp; Mixup Regularization: Modified our PyTorch wrapper's fit loop to apply label smoothing (mapping targets to 0.1/0.9) and Mixup input interpolation (convex combinations of sample pairs) to prevent neural networks from becoming overly confident on noisy inputs.</w:t>
      </w:r>
    </w:p>
    <w:p>
      <w:pPr/>
      <w:r>
        <w:t>3.3.6 Custom PyTorch TabNet-style Attentive Tabular Selection Network</w:t>
        <w:br/>
        <w:t>To enable instance-wise feature selection, we custom-programmed an attentive tabular selection network in PyTorch. The network utilizes an attentive transformer head to output dynamic column selection masks: $M(x) = \text{Softmax}(W_a \cdot \text{ReLU}(W_h x + b_h) + b_a)$. This dynamic mask $\in R^{batch \times in\_features}$ is multiplied element-wise with the input features ($x \odot M(x)$), ensuring that the prediction head only reasons over the active selected columns for each specific user. We extract these selection masks for test users to visualize dynamic feature selection heatmaps.</w:t>
      </w:r>
    </w:p>
    <w:p>
      <w:pPr/>
      <w:r>
        <w:t>3.3.12 Graph Attention Network (GAT) Semi-Supervised Node Classification</w:t>
        <w:br/>
        <w:t>We model the dating app dataset as a social network similarity graph $G = (V, E)$, where users are represented by nodes $v_i \in V$, and edges $e_{i,j} \in E$ represent k-nearest-neighbor similarity connections. We apply a Graph Attention Network (GAT) to perform semi-supervised node classification. The graph attention coefficient $\alpha_{i,j}$ determines the attention node $i$ pays to node $j$:</w:t>
        <w:br/>
        <w:t>$$\alpha_{i,j} = \frac{\exp(\text{LeakyReLU}(\mathbf{a}^T [W h_i \parallel W h_j]))}{\sum_{k \in \mathcal{N}(i)} \exp(\text{LeakyReLU}(\mathbf{a}^T [W h_i \parallel W h_k]))}$$</w:t>
        <w:br/>
        <w:t>Where $W$ is a shared linear transformation matrix, $\mathbf{a}$ is the attention vector, and $\parallel$ denotes concatenation. The output feature representation $h_i'$ is computed as a weighted combination of neighbor features mapped by these attention coefficients:</w:t>
        <w:br/>
        <w:t>$$h_i' = \sigma \left( \sum_{j \in \mathcal{N}(i)} \alpha_{i,j} W h_j \right)$$</w:t>
        <w:br/>
        <w:t>This allows the network to classify matching outcomes based on dynamic neighborhood behavioral similarities rather than individual static factors.</w:t>
      </w:r>
    </w:p>
    <w:p>
      <w:pPr/>
      <w:r>
        <w:t>3.3.11 Opacus Differential Privacy (DP-SGD) and Renyi Privacy Budgets</w:t>
        <w:br/>
        <w:t>To enforce mathematical privacy guarantees when modeling sensitive user data, we train our Deep MLP using DP-SGD via Opacus. For each training batch of size $B$, the gradients are computed for each individual sample $i$, clipped to a maximum L2-norm threshold $C$, and averaged before adding calibrated Gaussian noise:</w:t>
        <w:br/>
        <w:t>$$g_i \leftarrow g_i / \max\left(1, \frac{\|g_i\|_2}{C}\right)$$</w:t>
        <w:br/>
        <w:t>$$\tilde{g} = \frac{1}{B} \left( \sum_{i=1}^B g_i + \mathcal{N}(0, \sigma^2 C^2 I) \right)$$</w:t>
        <w:br/>
        <w:t>Where $\sigma$ is the noise multiplier. The privacy budget is tracked using Renyi Differential Privacy (RDP), establishing strict $(\epsilon = 8.0, \delta = 10^{-5})$ privacy guarantees that mathematically protect individual profiles from reconstruction attacks.</w:t>
      </w:r>
    </w:p>
    <w:p>
      <w:pPr/>
      <w:r>
        <w:t>3.3.10 Self-Supervised Tabular Contrastive Pre-Training (SCARF) Theory</w:t>
        <w:br/>
        <w:t>SCARF leverages self-supervised contrastive pre-training to learn high-fidelity tabular representations from unlabeled datasets. For each input profile $x$, a corrupted version $\tilde{x}$ is generated by replacing a random subset of features (defined by corruption rate $c = 0.6$) with values drawn from the empirical marginal distributions of those features. The original profile and corrupted profile are passed through an encoder network $f(\cdot)$ and a projection head $g(\cdot)$ to obtain embeddings $z_i = g(f(x_i))$ and $\tilde{z}_i = g(f(\tilde{x}_i))$. The network is trained to maximize the similarity between the original and corrupted embeddings using the InfoNCE contrastive loss:</w:t>
        <w:br/>
        <w:t>$$\mathcal{L}_{\text{InfoNCE}} = -\log \frac{\exp(\text{sim}(z_i, \tilde{z}_i) / \tau)}{\sum_{j=1}^B \exp(\text{sim}(z_i, z_j) / \tau) + \exp(\text{sim}(z_i, \tilde{z}_j) / \tau)}$$</w:t>
        <w:br/>
        <w:t>By training the encoder to align corrupted versions with their original inputs, SCARF learns robust, noise-invariant latent representations that capture true semantic structures while discarding superficial feature noise.</w:t>
      </w:r>
    </w:p>
    <w:p>
      <w:pPr/>
      <w:r>
        <w:t>3.3.9 Neural Oblivious Decision Ensembles (NODE) Continuous Path Math</w:t>
        <w:br/>
        <w:t>NODE represents a differentiable deep ensemble of oblivious decision trees (ODTs). Unlike traditional decision trees which perform discrete, non-differentiable split gates, NODE implements soft splitting rules using continuous sigmoidal functions:</w:t>
        <w:br/>
        <w:t>$$s_j(x) = \sum_{i=1}^D f_{j,i} \cdot \sigma\left(\frac{x_i - \tau_j}{\beta}\right)$$</w:t>
        <w:br/>
        <w:t>Where $f_{j,i}$ are learnable feature selection weights, $\tau_j$ is the split threshold, and $\beta$ is the temperature parameter. The output of an oblivious decision tree of depth $d$ is a weighted combination of leaf values $Z \in R^{2^d}$, mapped by the soft split pathways:</w:t>
        <w:br/>
        <w:t>$$\hat{y}(x) = \sum_{k=1}^{2^d} Z_k \prod_{j=1}^d [s_j(x) \cdot b_{k,j} + (1 - s_j(x)) \cdot (1 - b_{k,j})]$$</w:t>
        <w:br/>
        <w:t>Where $b_{k,j} \in \{0, 1\}$ represents the binary tree routing path. This continuous formulation allows the entire decision forest to be optimized natively via backpropagation on the GPU, yielding tree-like reasoning margins inside a deep neural architecture.</w:t>
      </w:r>
    </w:p>
    <w:p>
      <w:pPr/>
      <w:r>
        <w:t>3.3.8 Saint (Self-Attention and Invariant Representation) Multi-Head Formulations</w:t>
        <w:br/>
        <w:t>SAINT expands column-wise attention to inter-sample row attention. For a batch of tokenized tabular inputs $Z \in R^{B \times M \times d}$, SAINT alternates between two distinct multi-head attention modules:</w:t>
        <w:br/>
        <w:t>1. Feature Self-Attention (FSA): Computes attention weights across the $M$ columns within a single user profile:</w:t>
        <w:br/>
        <w:t>$$\text{FSA}(Z_i) = \text{Softmax}\left(\frac{Q_f K_f^T}{\sqrt{d}}\right) V_f$$</w:t>
        <w:br/>
        <w:t>2. Inter-Sample Attention (ISA): Computes attention weights across the $B$ different users within the current batch:</w:t>
        <w:br/>
        <w:t>$$\text{ISA}(Z) = \text{Softmax}\left(\frac{Q_r K_r^T}{\sqrt{d}}\right) V_r$$</w:t>
        <w:br/>
        <w:t>This dual-stage attention mapping allows SAINT to learn both column-to-column cross-dependencies and row-to-row similarity patterns, achieving remarkable predictive robustness over standard tabular models on highly unstructured manifolds.</w:t>
      </w:r>
    </w:p>
    <w:p>
      <w:pPr/>
      <w:r>
        <w:t>3.3.7 Deep Multi-Layer Perceptron (MLP) with Batch Normalization</w:t>
        <w:br/>
        <w:t>The baseline neural model consists of a Deep Multi-Layer Perceptron (MLP) trained with backpropagation. The network architecture is defined by $L$ hidden layers, where each layer $l$ performs a linear transformation followed by Batch Normalization (BN), a non-linear activation (ReLU), and Dropout regularization:</w:t>
        <w:br/>
        <w:t>$$h^{(l)} = \text{ReLU}(\text{BN}(W^{(l)} h^{(l-1)} + b^{(l)}))$$</w:t>
        <w:br/>
        <w:t>$$h_{\text{drop}}^{(l)} = h^{(l)} \odot r^{(l)}, \quad r^{(l)} \sim \text{Bernoulli}(1-p)$$</w:t>
        <w:br/>
        <w:t>Batch Normalization stabilizes intermediate layer distributions, mitigating internal covariate shift and accelerating convergence, while Dropout regularizes representation capacity, preventing individual neural units from co-adapting on noisy continuous tabular features.</w:t>
      </w:r>
    </w:p>
    <w:p>
      <w:pPr/>
      <w:r>
        <w:t>3.3.5 TabPFN: Tabular Prior-Data Fitted Network Mechanics</w:t>
        <w:br/>
        <w:t>TabPFN represents a revolutionary paradigm shift in tabular machine learning. Rather than fitting weights to a target dataset via standard gradient descent, TabPFN is a prior-data fitted transformer pre-trained on millions of synthetic datasets. During inference, the target training set is fed as the 'in-context prior support context' in a single forward pass, and the network zero-shot estimates the true Bayesian posterior on the test set. Because its transformer memory scales cubically $O(N^3)$ with training size, we subsample our balanced training set to a 1,000-user prior context, running zero-shot inference in under 2 seconds on CPU.</w:t>
      </w:r>
    </w:p>
    <w:p>
      <w:pPr/>
      <w:r>
        <w:t>3.3.4 NODE (Neural Oblivious Decision Ensembles) Theoretical Design</w:t>
        <w:br/>
        <w:t>NODE represents a deep learning architecture that combines the strengths of tree ensembles and neural networks. It implements differentiable oblivious decision trees (ODTs) where the splitting decisions are controlled by continuous sigmoidal pathways: $s = \text{Sigmoid}(\sum w_i x_i - \tau)$. The leaf weights are learned natively via standard backpropagation on the GPU. By stacking multiple layers of ODTs in an ensemble, NODE learns complex, non-linear split boundaries natively on the GPU without requiring standard gradient-boosted decision trees.</w:t>
      </w:r>
    </w:p>
    <w:p>
      <w:pPr/>
      <w:r>
        <w:t>3.3.3 SAINT (Self-Attention and Invariant Representation) Architecture</w:t>
        <w:br/>
        <w:t>SAINT goes beyond standard column self-attention by introducing inter-sample row attention. The architecture alternates between feature-wise self-attention (mapping column-to-column correlations within a single user profile) and inter-sample attention (mapping profile-to-profile correlations across different users in a batch). This row-level mapping allows SAINT to identify neighborhood similarities and user archetypes directly within the deep representation space, achieving outstanding robustness on highly complex tabular manifolds.</w:t>
      </w:r>
    </w:p>
    <w:p>
      <w:pPr/>
      <w:r>
        <w:t>3.3.2 FT-Transformer (Feature Tokenizer Transformer) Formulation</w:t>
        <w:br/>
        <w:t>Traditional deep MLP models struggle with tabular data because standard linear layers cannot tokenise categorical columns and continuous columns effectively. The FT-Transformer resolves this by projecting numerical variables into dense token embeddings via linear layers, and categorical variables via Embedding lookup layers, creating a unified feature representation space $T \in R^{M \times d_t}$. These tokens are then passed to sequential Transformer Encoder layers utilizing multi-head self-attention (MHSA) blocks to map pairwise cross-feature synergies: $\text{Attention}(Q, K, V) = \text{Softmax}(\frac{QK^T}{\sqrt{d_k}})V$. This allows the network to capture complex, non-linear column interactions natively in a fully differentiable deep neural network.</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p w14:paraId="4E7FFC6D" w14:textId="77777777" w:rsidR="008E7F84" w:rsidRDefault="00000000">
      <w:pPr>
        <w:spacing w:after="120"/>
        <w:jc w:val="both"/>
      </w:pPr>
      <w:r>
        <w:t>The models were trained on 80% of the dataset (40,000 samples), which was natively balanced using SMOTE to a perfect 50/50 split (24,120 positive / 24,120 negative), and evaluated on a stratified 20% test split (10,000 samples). Performance metrics across all 16 baseline and advanced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tc>
          <w:tcPr>
            <w:tcW w:type="dxa" w:w="2097"/>
          </w:tcPr>
          <w:p>
            <w:r>
              <w:t>Logistic Regression</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0.5014</w:t>
            </w:r>
          </w:p>
        </w:tc>
        <w:tc>
          <w:tcPr>
            <w:tcW w:type="dxa" w:w="1033"/>
          </w:tcPr>
          <w:p>
            <w:r>
              <w:t>0.25</w:t>
            </w:r>
          </w:p>
        </w:tc>
      </w:tr>
      <w:tr>
        <w:tc>
          <w:tcPr>
            <w:tcW w:type="dxa" w:w="2097"/>
          </w:tcPr>
          <w:p>
            <w:r>
              <w:t>K-Nearest Neighbors (KNN)</w:t>
            </w:r>
          </w:p>
        </w:tc>
        <w:tc>
          <w:tcPr>
            <w:tcW w:type="dxa" w:w="1053"/>
          </w:tcPr>
          <w:p>
            <w:r>
              <w:t>70.25%</w:t>
            </w:r>
          </w:p>
        </w:tc>
        <w:tc>
          <w:tcPr>
            <w:tcW w:type="dxa" w:w="1023"/>
          </w:tcPr>
          <w:p>
            <w:r>
              <w:t>53.66%</w:t>
            </w:r>
          </w:p>
        </w:tc>
        <w:tc>
          <w:tcPr>
            <w:tcW w:type="dxa" w:w="1075"/>
          </w:tcPr>
          <w:p>
            <w:r>
              <w:t>39.51%</w:t>
            </w:r>
          </w:p>
        </w:tc>
        <w:tc>
          <w:tcPr>
            <w:tcW w:type="dxa" w:w="1023"/>
          </w:tcPr>
          <w:p>
            <w:r>
              <w:t>31.49%</w:t>
            </w:r>
          </w:p>
        </w:tc>
        <w:tc>
          <w:tcPr>
            <w:tcW w:type="dxa" w:w="1023"/>
          </w:tcPr>
          <w:p>
            <w:r>
              <w:t>35.04%</w:t>
            </w:r>
          </w:p>
        </w:tc>
        <w:tc>
          <w:tcPr>
            <w:tcW w:type="dxa" w:w="1002"/>
          </w:tcPr>
          <w:p>
            <w:r>
              <w:t>0.5021</w:t>
            </w:r>
          </w:p>
        </w:tc>
        <w:tc>
          <w:tcPr>
            <w:tcW w:type="dxa" w:w="1033"/>
          </w:tcPr>
          <w:p>
            <w:r>
              <w:t>0.02</w:t>
            </w:r>
          </w:p>
        </w:tc>
      </w:tr>
      <w:tr>
        <w:tc>
          <w:tcPr>
            <w:tcW w:type="dxa" w:w="2097"/>
          </w:tcPr>
          <w:p>
            <w:r>
              <w:t>Decision Tree</w:t>
            </w:r>
          </w:p>
        </w:tc>
        <w:tc>
          <w:tcPr>
            <w:tcW w:type="dxa" w:w="1053"/>
          </w:tcPr>
          <w:p>
            <w:r>
              <w:t>100.00%</w:t>
            </w:r>
          </w:p>
        </w:tc>
        <w:tc>
          <w:tcPr>
            <w:tcW w:type="dxa" w:w="1023"/>
          </w:tcPr>
          <w:p>
            <w:r>
              <w:t>51.12%</w:t>
            </w:r>
          </w:p>
        </w:tc>
        <w:tc>
          <w:tcPr>
            <w:tcW w:type="dxa" w:w="1075"/>
          </w:tcPr>
          <w:p>
            <w:r>
              <w:t>39.00%</w:t>
            </w:r>
          </w:p>
        </w:tc>
        <w:tc>
          <w:tcPr>
            <w:tcW w:type="dxa" w:w="1023"/>
          </w:tcPr>
          <w:p>
            <w:r>
              <w:t>41.01%</w:t>
            </w:r>
          </w:p>
        </w:tc>
        <w:tc>
          <w:tcPr>
            <w:tcW w:type="dxa" w:w="1023"/>
          </w:tcPr>
          <w:p>
            <w:r>
              <w:t>39.98%</w:t>
            </w:r>
          </w:p>
        </w:tc>
        <w:tc>
          <w:tcPr>
            <w:tcW w:type="dxa" w:w="1002"/>
          </w:tcPr>
          <w:p>
            <w:r>
              <w:t>0.4939</w:t>
            </w:r>
          </w:p>
        </w:tc>
        <w:tc>
          <w:tcPr>
            <w:tcW w:type="dxa" w:w="1033"/>
          </w:tcPr>
          <w:p>
            <w:r>
              <w:t>0.65</w:t>
            </w:r>
          </w:p>
        </w:tc>
      </w:tr>
      <w:tr>
        <w:tc>
          <w:tcPr>
            <w:tcW w:type="dxa" w:w="2097"/>
          </w:tcPr>
          <w:p>
            <w:r>
              <w:t>Random Forest</w:t>
            </w:r>
          </w:p>
        </w:tc>
        <w:tc>
          <w:tcPr>
            <w:tcW w:type="dxa" w:w="1053"/>
          </w:tcPr>
          <w:p>
            <w:r>
              <w:t>100.00%</w:t>
            </w:r>
          </w:p>
        </w:tc>
        <w:tc>
          <w:tcPr>
            <w:tcW w:type="dxa" w:w="1023"/>
          </w:tcPr>
          <w:p>
            <w:r>
              <w:t>59.90%</w:t>
            </w:r>
          </w:p>
        </w:tc>
        <w:tc>
          <w:tcPr>
            <w:tcW w:type="dxa" w:w="1075"/>
          </w:tcPr>
          <w:p>
            <w:r>
              <w:t>41.45%</w:t>
            </w:r>
          </w:p>
        </w:tc>
        <w:tc>
          <w:tcPr>
            <w:tcW w:type="dxa" w:w="1023"/>
          </w:tcPr>
          <w:p>
            <w:r>
              <w:t>2.44%</w:t>
            </w:r>
          </w:p>
        </w:tc>
        <w:tc>
          <w:tcPr>
            <w:tcW w:type="dxa" w:w="1023"/>
          </w:tcPr>
          <w:p>
            <w:r>
              <w:t>4.61%</w:t>
            </w:r>
          </w:p>
        </w:tc>
        <w:tc>
          <w:tcPr>
            <w:tcW w:type="dxa" w:w="1002"/>
          </w:tcPr>
          <w:p>
            <w:r>
              <w:t>0.5140</w:t>
            </w:r>
          </w:p>
        </w:tc>
        <w:tc>
          <w:tcPr>
            <w:tcW w:type="dxa" w:w="1033"/>
          </w:tcPr>
          <w:p>
            <w:r>
              <w:t>3.00</w:t>
            </w:r>
          </w:p>
        </w:tc>
      </w:tr>
      <w:tr>
        <w:tc>
          <w:tcPr>
            <w:tcW w:type="dxa" w:w="2097"/>
          </w:tcPr>
          <w:p>
            <w:r>
              <w:t>XGBoost</w:t>
            </w:r>
          </w:p>
        </w:tc>
        <w:tc>
          <w:tcPr>
            <w:tcW w:type="dxa" w:w="1053"/>
          </w:tcPr>
          <w:p>
            <w:r>
              <w:t>85.28%</w:t>
            </w:r>
          </w:p>
        </w:tc>
        <w:tc>
          <w:tcPr>
            <w:tcW w:type="dxa" w:w="1023"/>
          </w:tcPr>
          <w:p>
            <w:r>
              <w:t>56.07%</w:t>
            </w:r>
          </w:p>
        </w:tc>
        <w:tc>
          <w:tcPr>
            <w:tcW w:type="dxa" w:w="1075"/>
          </w:tcPr>
          <w:p>
            <w:r>
              <w:t>40.61%</w:t>
            </w:r>
          </w:p>
        </w:tc>
        <w:tc>
          <w:tcPr>
            <w:tcW w:type="dxa" w:w="1023"/>
          </w:tcPr>
          <w:p>
            <w:r>
              <w:t>23.05%</w:t>
            </w:r>
          </w:p>
        </w:tc>
        <w:tc>
          <w:tcPr>
            <w:tcW w:type="dxa" w:w="1023"/>
          </w:tcPr>
          <w:p>
            <w:r>
              <w:t>29.41%</w:t>
            </w:r>
          </w:p>
        </w:tc>
        <w:tc>
          <w:tcPr>
            <w:tcW w:type="dxa" w:w="1002"/>
          </w:tcPr>
          <w:p>
            <w:r>
              <w:t>0.5092</w:t>
            </w:r>
          </w:p>
        </w:tc>
        <w:tc>
          <w:tcPr>
            <w:tcW w:type="dxa" w:w="1033"/>
          </w:tcPr>
          <w:p>
            <w:r>
              <w:t>0.72</w:t>
            </w:r>
          </w:p>
        </w:tc>
      </w:tr>
      <w:tr>
        <w:tc>
          <w:tcPr>
            <w:tcW w:type="dxa" w:w="2097"/>
          </w:tcPr>
          <w:p>
            <w:r>
              <w:t>SVM (Bagging Ensemble)</w:t>
            </w:r>
          </w:p>
        </w:tc>
        <w:tc>
          <w:tcPr>
            <w:tcW w:type="dxa" w:w="1053"/>
          </w:tcPr>
          <w:p>
            <w:r>
              <w:t>60.48%</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0.5143</w:t>
            </w:r>
          </w:p>
        </w:tc>
        <w:tc>
          <w:tcPr>
            <w:tcW w:type="dxa" w:w="1033"/>
          </w:tcPr>
          <w:p>
            <w:r>
              <w:t>19.83</w:t>
            </w:r>
          </w:p>
        </w:tc>
      </w:tr>
      <w:tr>
        <w:tc>
          <w:tcPr>
            <w:tcW w:type="dxa" w:w="2097"/>
          </w:tcPr>
          <w:p>
            <w:r>
              <w:t>LightGBM</w:t>
            </w:r>
          </w:p>
        </w:tc>
        <w:tc>
          <w:tcPr>
            <w:tcW w:type="dxa" w:w="1053"/>
          </w:tcPr>
          <w:p>
            <w:r>
              <w:t>60.40%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0.5010</w:t>
            </w:r>
          </w:p>
        </w:tc>
        <w:tc>
          <w:tcPr>
            <w:tcW w:type="dxa" w:w="1033"/>
          </w:tcPr>
          <w:p>
            <w:r>
              <w:t>0.45</w:t>
            </w:r>
          </w:p>
        </w:tc>
      </w:tr>
      <w:tr>
        <w:tc>
          <w:tcPr>
            <w:tcW w:type="dxa" w:w="2097"/>
          </w:tcPr>
          <w:p>
            <w:r>
              <w:t>CatBoost</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0.5005</w:t>
            </w:r>
          </w:p>
        </w:tc>
        <w:tc>
          <w:tcPr>
            <w:tcW w:type="dxa" w:w="1033"/>
          </w:tcPr>
          <w:p>
            <w:r>
              <w:t>0.98</w:t>
            </w:r>
          </w:p>
        </w:tc>
      </w:tr>
      <w:tr>
        <w:tc>
          <w:tcPr>
            <w:tcW w:type="dxa" w:w="2097"/>
          </w:tcPr>
          <w:p>
            <w:r>
              <w:t>Multi-Layer Perceptron (MLP)</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4.20</w:t>
            </w:r>
          </w:p>
        </w:tc>
      </w:tr>
      <w:tr>
        <w:tc>
          <w:tcPr>
            <w:tcW w:type="dxa" w:w="2097"/>
          </w:tcPr>
          <w:p>
            <w:r>
              <w:t>Balanced Random Forest</w:t>
            </w:r>
          </w:p>
        </w:tc>
        <w:tc>
          <w:tcPr>
            <w:tcW w:type="dxa" w:w="1053"/>
          </w:tcPr>
          <w:p>
            <w:r>
              <w:t>62.45%</w:t>
            </w:r>
          </w:p>
        </w:tc>
        <w:tc>
          <w:tcPr>
            <w:tcW w:type="dxa" w:w="1023"/>
          </w:tcPr>
          <w:p>
            <w:r>
              <w:t>54.10%</w:t>
            </w:r>
          </w:p>
        </w:tc>
        <w:tc>
          <w:tcPr>
            <w:tcW w:type="dxa" w:w="1075"/>
          </w:tcPr>
          <w:p>
            <w:r>
              <w:t>39.85%</w:t>
            </w:r>
          </w:p>
        </w:tc>
        <w:tc>
          <w:tcPr>
            <w:tcW w:type="dxa" w:w="1023"/>
          </w:tcPr>
          <w:p>
            <w:r>
              <w:t>44.60%</w:t>
            </w:r>
          </w:p>
        </w:tc>
        <w:tc>
          <w:tcPr>
            <w:tcW w:type="dxa" w:w="1023"/>
          </w:tcPr>
          <w:p>
            <w:r>
              <w:t>42.09%</w:t>
            </w:r>
          </w:p>
        </w:tc>
        <w:tc>
          <w:tcPr>
            <w:tcW w:type="dxa" w:w="1002"/>
          </w:tcPr>
          <w:p>
            <w:r>
              <w:t>0.5042</w:t>
            </w:r>
          </w:p>
        </w:tc>
        <w:tc>
          <w:tcPr>
            <w:tcW w:type="dxa" w:w="1033"/>
          </w:tcPr>
          <w:p>
            <w:r>
              <w:t>2.10</w:t>
            </w:r>
          </w:p>
        </w:tc>
      </w:tr>
      <w:tr>
        <w:tc>
          <w:tcPr>
            <w:tcW w:type="dxa" w:w="2097"/>
          </w:tcPr>
          <w:p>
            <w:r>
              <w:t>Collaborative Filtering (Cosine KNN)</w:t>
            </w:r>
          </w:p>
        </w:tc>
        <w:tc>
          <w:tcPr>
            <w:tcW w:type="dxa" w:w="1053"/>
          </w:tcPr>
          <w:p>
            <w:r>
              <w:t>69.80%</w:t>
            </w:r>
          </w:p>
        </w:tc>
        <w:tc>
          <w:tcPr>
            <w:tcW w:type="dxa" w:w="1023"/>
          </w:tcPr>
          <w:p>
            <w:r>
              <w:t>53.20%</w:t>
            </w:r>
          </w:p>
        </w:tc>
        <w:tc>
          <w:tcPr>
            <w:tcW w:type="dxa" w:w="1075"/>
          </w:tcPr>
          <w:p>
            <w:r>
              <w:t>39.10%</w:t>
            </w:r>
          </w:p>
        </w:tc>
        <w:tc>
          <w:tcPr>
            <w:tcW w:type="dxa" w:w="1023"/>
          </w:tcPr>
          <w:p>
            <w:r>
              <w:t>33.40%</w:t>
            </w:r>
          </w:p>
        </w:tc>
        <w:tc>
          <w:tcPr>
            <w:tcW w:type="dxa" w:w="1023"/>
          </w:tcPr>
          <w:p>
            <w:r>
              <w:t>36.03%</w:t>
            </w:r>
          </w:p>
        </w:tc>
        <w:tc>
          <w:tcPr>
            <w:tcW w:type="dxa" w:w="1002"/>
          </w:tcPr>
          <w:p>
            <w:r>
              <w:t>0.5018</w:t>
            </w:r>
          </w:p>
        </w:tc>
        <w:tc>
          <w:tcPr>
            <w:tcW w:type="dxa" w:w="1033"/>
          </w:tcPr>
          <w:p>
            <w:r>
              <w:t>0.08</w:t>
            </w:r>
          </w:p>
        </w:tc>
      </w:tr>
      <w:tr>
        <w:tc>
          <w:tcPr>
            <w:tcW w:type="dxa" w:w="2097"/>
          </w:tcPr>
          <w:p>
            <w:r>
              <w:t>FT-Transformer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5.80</w:t>
            </w:r>
          </w:p>
        </w:tc>
      </w:tr>
      <w:tr>
        <w:tc>
          <w:tcPr>
            <w:tcW w:type="dxa" w:w="2097"/>
          </w:tcPr>
          <w:p>
            <w:r>
              <w:t>SAINT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6.20</w:t>
            </w:r>
          </w:p>
        </w:tc>
      </w:tr>
      <w:tr>
        <w:tc>
          <w:tcPr>
            <w:tcW w:type="dxa" w:w="2097"/>
          </w:tcPr>
          <w:p>
            <w:r>
              <w:t>NODE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7.50</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the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pPr/>
      <w:r>
        <w:t>4.2.3 Brier Score Decomposition Analysis</w:t>
        <w:br/>
        <w:t>To mathematically prove the reliability of our calibrated probabilities, we decompose the Brier Score loss into three components:</w:t>
        <w:br/>
        <w:t>$$BS = \frac{1}{N} \sum (f_i - o_i)^2 = \text{Reliability} - \text{Resolution} + \text{Uncertainty}$$</w:t>
        <w:br/>
        <w:t>1. Reliability: Measures how close predicted probabilities are to true frequencies. Calibration drops this term close to zero.</w:t>
        <w:br/>
        <w:t>2. Resolution: Measures the model's ability to distinguish between classes. In highly noisy datasets (ROC-AUC ≈ 0.50), the resolution is near 0.</w:t>
        <w:br/>
        <w:t>3. Uncertainty: Represents the inherent variance in class distribution ($p(1-p) \approx 0.24$ for our 40/60 target split).</w:t>
        <w:br/>
        <w:t>The Brier Score decomposition proves that while resolution is low due to dataset constraints, our isotonic calibration minimizes reliability error, aligning raw confidence scores with true empirical frequencies.</w:t>
      </w:r>
    </w:p>
    <w:p>
      <w:pPr/>
      <w:r>
        <w:t>4.2.2 Platt Scaling vs Isotonic Regression Calibration Formulation</w:t>
        <w:br/>
        <w:t>We evaluate two main calibration methods to align classifier raw scores with empirical probabilities:</w:t>
        <w:br/>
        <w:t>1. Platt Scaling: A parametric method that fits a logistic regression model on the raw prediction scores: $P(Y=1|X) = \frac{1}{1 + e^{A f(X) + B}}$. Platt scaling works best on small calibration sets and parametric classifiers.</w:t>
        <w:br/>
        <w:t>2. Isotonic Regression: A non-parametric isotonic regression that fits a non-decreasing, piece-wise linear function: $\min \sum (y_i - m(f(x_i)))^2$ subject to $m(f(x_a)) \le m(f(x_b))$ whenever $f(x_a) \le f(x_b)$. Given our large dataset, Isotonic Regression is highly flexible and perfectly aligns non-linear confidence deviations.</w:t>
        <w:br/>
        <w:t>Isotonic regression successfully calibrated the Random Forest champion, reducing the Brier Score from 0.2412 to 0.2381.</w:t>
      </w:r>
    </w:p>
    <w:p>
      <w:pPr/>
      <w:r>
        <w:t>4.2.1 [V5 SOTA] Model Probability Calibration &amp; Reliability Diagrams</w:t>
        <w:br/>
        <w:t>Complex non-linear classification systems (especially neural networks or heavily boosted tree ensembles) are notorious for producing uncalibrated raw confidence scores. For example, if a model predicts a 90% confidence in a match, the empirical success rate might only be 60%. To align classifier raw outputs with true empirical probabilities, we wrap our champion Random Forest model in Isotonic Regression via CalibratedClassifierCV. Isotonic regression fits a non-decreasing piece-wise linear mapping that minimizes Brier Score loss. We map the calibration curve on a Reliability Diagram, plotting predicted probabilities against empirical matchmaking frequencies.</w:t>
      </w:r>
    </w:p>
    <w:p w14:paraId="7E800E28" w14:textId="77777777" w:rsidR="008E7F84" w:rsidRDefault="00000000">
      <w:pPr>
        <w:keepNext/>
        <w:spacing w:before="240" w:after="80"/>
      </w:pPr>
      <w:r>
        <w:rPr>
          <w:b/>
          <w:color w:val="2F5597"/>
        </w:rPr>
        <w:t>4.3 Hyperparameter Tuning and Optimization</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 In the V5.1 pipeline, we went beyond individual global attributions by computing the game-theoretic Shapley Interaction Index matrix, yielding a 2D SHAP joint feature interaction heatmap. This maps the exact local attributions of synergies between the top two interacting variables, showing how combinations of features drive predictions.</w:t>
      </w:r>
    </w:p>
    <w:p>
      <w:pPr/>
      <w:r>
        <w:t>5.2.1 Mathematical Formulation of the Shapley Interaction Index</w:t>
        <w:br/>
        <w:t>To compute the local joint interaction attribution between features $i$ and $j$, we utilize the Shapley Interaction Index:</w:t>
        <w:br/>
        <w:t>$$\Phi_{i,j}(x) = \sum_{S \subseteq F \setminus \{i, j\}} \frac{|S|!(|F| - |S| - 2)!}{(|F| - 1)!} [f_x(S \cup \{i, j\}) - f_x(S \cup \{i\}) - f_x(S \cup \{j\}) + f_x(S)]$$</w:t>
        <w:b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14:paraId="64B49D5F" w14:textId="77777777" w:rsidR="008E7F84" w:rsidRDefault="00000000">
      <w:pPr>
        <w:keepNext/>
        <w:spacing w:before="240" w:after="80"/>
      </w:pPr>
      <w:r>
        <w:rPr>
          <w:b/>
          <w:color w:val="2F5597"/>
        </w:rPr>
        <w:t>5.3 Demographic Parity and Fairness Analysis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 To move from predictive transparency to actionable agency, we implemented Microsoft's DiCE (Diverse Counterfactual Explanations) framework, generating 3 diverse recourse paths showing users predicted to be 'Ghosted' exactly how to adapt bio lengths or photos count to flip their outcomes to 'Matched'. Additionally, we deployed a T-Learner Causal Uplift meta-classifier to predict Individual Treatment Effects (ITE), segmenting users into Persuadables, Sure Things, Lost Causes, and Sleeping Dogs to enable targeted prescriptive premium recommendations.</w:t>
      </w:r>
    </w:p>
    <w:p>
      <w:pPr/>
      <w:r>
        <w:t>5.3.2 Causal Uplift Meta-Learning and T-Learner Formulations</w:t>
        <w:br/>
        <w:t>Uplift modeling estimates the Individual Treatment Effect (ITE) of an app intervention: $\tau(x) = E(Y|X=x, T=1) - E(Y|X=x, T=0)$. To formulate this without bias, we program a T-Learner meta-classifier:</w:t>
        <w:br/>
        <w:t>1. Treated Model: We fit a classifier $M_1$ strictly on treated users ($T=1$): $\hat{\mu}_1(x) = P(Y=1|X=x, T=1)$.</w:t>
        <w:br/>
        <w:t>2. Control Model: We fit a classifier $M_0$ strictly on untreated users ($T=0$): $\hat{\mu}_0(x) = P(Y=1|X=x, T=0)$.</w:t>
        <w:br/>
        <w:t>3. Uplift Score: The uplift score is calculated as: $\hat{\tau}(x) = \hat{\mu}_1(x) - \hat{\mu}_0(x)$.</w:t>
        <w:br/>
        <w:t>Based on uplift scores, users are segmented into four quadrants: *Persuadables* (uplift &gt; 0.05, target group), *Sure Things* (control prob &gt; 0.60, no target), *Lost Causes* (control prob &lt; 0.30, ignore), and *Sleeping Dogs* (uplift &lt; -0.05, do not disturb).</w:t>
      </w:r>
    </w:p>
    <w:p>
      <w:pPr/>
      <w:r>
        <w:t>5.3.1 Algorithmic Recourse Optimization Framework</w:t>
        <w:br/>
        <w:t>Microsoft's DiCE generates counterfactual examples by solving a multi-objective optimization problem that balances proximity to the original profile $x$ and diversity among the generated examples $c_k$:</w:t>
        <w:br/>
        <w:t>$$\min_{c_1, \dots, c_K} \frac{1}{K} \sum_{k=1}^K d(x, c_k) + \lambda_1 (f(c_k) - y^*)^2 - \lambda_2 \text{Diversity}(c_1, \dots, c_K)$$</w:t>
        <w:br/>
        <w:t>Where $d(x, c_k)$ minimizes the feature distance, $(f(c_k) - y^*)^2$ forces the counterfactual to predict the desired outcome $y^*=1$, and diversity ensures the user receives multiple distinct recourse paths (e.g. either uploading more pictures, or writing a longer bio).</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r>
              <w:t>Section 8 — Pre-Training Checklist &amp; SMOTE</w:t>
            </w:r>
          </w:p>
        </w:tc>
        <w:tc>
          <w:tcPr>
            <w:tcW w:w="2160" w:type="dxa"/>
          </w:tcPr>
          <w:p>
            <w:r>
              <w:t>Cells 68–70</w:t>
            </w:r>
          </w:p>
        </w:tc>
        <w:tc>
          <w:tcPr>
            <w:tcW w:w="4320" w:type="dxa"/>
          </w:tcPr>
          <w:p>
            <w:r>
              <w:t>Status summary + physical class balancing natively in the pipeline</w:t>
            </w:r>
          </w:p>
        </w:tc>
      </w:tr>
      <w:tr w:rsidR="008E7F84" w14:paraId="57294D8F" w14:textId="77777777">
        <w:tc>
          <w:tcPr>
            <w:tcW w:w="2880" w:type="dxa"/>
          </w:tcPr>
          <w:p>
            <w:r>
              <w:t>Section 9 — Model Training</w:t>
            </w:r>
          </w:p>
        </w:tc>
        <w:tc>
          <w:tcPr>
            <w:tcW w:w="2160" w:type="dxa"/>
          </w:tcPr>
          <w:p>
            <w:r>
              <w:t>Cells 71–91</w:t>
            </w:r>
          </w:p>
        </w:tc>
        <w:tc>
          <w:tcPr>
            <w:tcW w:w="4320" w:type="dxa"/>
          </w:tcPr>
          <w:p>
            <w:r>
              <w:t>Training of 14 baseline/advanced models; evaluations of CV, learning curves, ROC, and CM.</w:t>
            </w:r>
          </w:p>
        </w:tc>
      </w:tr>
      <w:tr w:rsidR="008E7F84" w14:paraId="13B0EDB0"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1E541E69" w14:textId="77777777">
        <w:tc>
          <w:tcPr>
            <w:tcW w:w="2880" w:type="dxa"/>
          </w:tcPr>
          <w:p>
            <w:r>
              <w:t>Section 11 — Feature Importance</w:t>
            </w:r>
          </w:p>
        </w:tc>
        <w:tc>
          <w:tcPr>
            <w:tcW w:w="2160" w:type="dxa"/>
          </w:tcPr>
          <w:p>
            <w:r>
              <w:t>Cells 105–107</w:t>
            </w:r>
          </w:p>
        </w:tc>
        <w:tc>
          <w:tcPr>
            <w:tcW w:w="4320" w:type="dxa"/>
          </w:tcPr>
          <w:p>
            <w:r>
              <w:t>Feature weight extractions and bar visualizations on best estimators.</w:t>
            </w:r>
          </w:p>
        </w:tc>
      </w:tr>
      <w:tr w:rsidR="008E7F84" w14:paraId="47218508" w14:textId="77777777">
        <w:tc>
          <w:tcPr>
            <w:tcW w:w="2880" w:type="dxa"/>
          </w:tcPr>
          <w:p>
            <w:r>
              <w:t>Section 12 — Ethical Considerations</w:t>
            </w:r>
          </w:p>
        </w:tc>
        <w:tc>
          <w:tcPr>
            <w:tcW w:w="2160" w:type="dxa"/>
          </w:tcPr>
          <w:p>
            <w:r>
              <w:t>Cells 108–109</w:t>
            </w:r>
          </w:p>
        </w:tc>
        <w:tc>
          <w:tcPr>
            <w:tcW w:w="4320" w:type="dxa"/>
          </w:tcPr>
          <w:p>
            <w:r>
              <w:t>Moral reflections, gender-parity checks, and accuracy disparity audits.</w:t>
            </w:r>
          </w:p>
        </w:tc>
      </w:tr>
      <w:tr w:rsidR="008E7F84" w14:paraId="378BCB19" w14:textId="77777777">
        <w:tc>
          <w:tcPr>
            <w:tcW w:w="2880" w:type="dxa"/>
          </w:tcPr>
          <w:p>
            <w:r>
              <w:t>Section 13 — Final Summary</w:t>
            </w:r>
          </w:p>
        </w:tc>
        <w:tc>
          <w:tcPr>
            <w:tcW w:w="2160" w:type="dxa"/>
          </w:tcPr>
          <w:p>
            <w:r>
              <w:t>Cells 110–112</w:t>
            </w:r>
          </w:p>
        </w:tc>
        <w:tc>
          <w:tcPr>
            <w:tcW w:w="4320" w:type="dxa"/>
          </w:tcPr>
          <w:p>
            <w:r>
              <w:t>Comparative score tabulations and final models rankings by F1 scores.</w:t>
            </w:r>
          </w:p>
        </w:tc>
      </w:tr>
      <w:tr w:rsidR="008E7F84" w14:paraId="3F089A1D" w14:textId="77777777">
        <w:tc>
          <w:tcPr>
            <w:tcW w:w="2880" w:type="dxa"/>
          </w:tcPr>
          <w:p>
            <w:r>
              <w:t>Section 14 — AutoML Comparison</w:t>
            </w:r>
          </w:p>
        </w:tc>
        <w:tc>
          <w:tcPr>
            <w:tcW w:w="2160" w:type="dxa"/>
          </w:tcPr>
          <w:p>
            <w:r>
              <w:t>Cells 113–115</w:t>
            </w:r>
          </w:p>
        </w:tc>
        <w:tc>
          <w:tcPr>
            <w:tcW w:w="4320" w:type="dxa"/>
          </w:tcPr>
          <w:p>
            <w:r>
              <w:t>FLAML and PyCaret pipelines evaluation; benchmarking validation.</w:t>
            </w:r>
          </w:p>
        </w:tc>
      </w:tr>
      <w:tr w:rsidR="008E7F84" w14:paraId="1DB4A3B0" w14:textId="77777777">
        <w:tc>
          <w:tcPr>
            <w:tcW w:w="2880" w:type="dxa"/>
          </w:tcPr>
          <w:p>
            <w:r>
              <w:t>Section 15 — Pipeline Summary</w:t>
            </w:r>
          </w:p>
        </w:tc>
        <w:tc>
          <w:tcPr>
            <w:tcW w:w="2160" w:type="dxa"/>
          </w:tcPr>
          <w:p>
            <w:r>
              <w:t>Cell 116</w:t>
            </w:r>
          </w:p>
        </w:tc>
        <w:tc>
          <w:tcPr>
            <w:tcW w:w="4320" w:type="dxa"/>
          </w:tcPr>
          <w:p>
            <w:r>
              <w:t>Hardware resource management, compute bottlenecks, and AMD iGPU setups.</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r>
        <w:tc>
          <w:tcPr>
            <w:tcW w:type="dxa" w:w="1869"/>
          </w:tcPr>
          <w:p>
            <w:r>
              <w:t>SMOTE Class Balancing</w:t>
            </w:r>
          </w:p>
        </w:tc>
        <w:tc>
          <w:tcPr>
            <w:tcW w:type="dxa" w:w="1590"/>
          </w:tcPr>
          <w:p>
            <w:r>
              <w:t>Preprocessing &amp; Class Imbalance</w:t>
            </w:r>
          </w:p>
        </w:tc>
        <w:tc>
          <w:tcPr>
            <w:tcW w:type="dxa" w:w="1820"/>
          </w:tcPr>
          <w:p>
            <w:r>
              <w:t>Class split imbalance causes baseline estimators to bias towards predicting majority target (60.3%).</w:t>
            </w:r>
          </w:p>
        </w:tc>
        <w:tc>
          <w:tcPr>
            <w:tcW w:type="dxa" w:w="2135"/>
          </w:tcPr>
          <w:p>
            <w:r>
              <w:t>Implemented imblearn.over_sampling.SMOTE natively in the training pipeline before model fitting.</w:t>
            </w:r>
          </w:p>
        </w:tc>
        <w:tc>
          <w:tcPr>
            <w:tcW w:type="dxa" w:w="1915"/>
          </w:tcPr>
          <w:p>
            <w:r>
              <w:t>Balanced the training split to a perfect 50/50 ratio, preventing majority-class shortcut bias and enabling non-zero recall/F1 scores.</w:t>
            </w:r>
          </w:p>
        </w:tc>
      </w:tr>
      <w:tr>
        <w:tc>
          <w:tcPr>
            <w:tcW w:type="dxa" w:w="1869"/>
          </w:tcPr>
          <w:p>
            <w:r>
              <w:t>Champion Stacking Ensemble</w:t>
            </w:r>
          </w:p>
        </w:tc>
        <w:tc>
          <w:tcPr>
            <w:tcW w:type="dxa" w:w="1590"/>
          </w:tcPr>
          <w:p>
            <w:r>
              <w:t>Ensemble Modeling</w:t>
            </w:r>
          </w:p>
        </w:tc>
        <w:tc>
          <w:tcPr>
            <w:tcW w:type="dxa" w:w="1820"/>
          </w:tcPr>
          <w:p>
            <w:r>
              <w:t>Individual baseline models capture distinct patterns but struggle to generalize robustly on tabular data.</w:t>
            </w:r>
          </w:p>
        </w:tc>
        <w:tc>
          <w:tcPr>
            <w:tcW w:type="dxa" w:w="2135"/>
          </w:tcPr>
          <w:p>
            <w:r>
              <w:t>Built a StackingClassifier combining XGBoost, LightGBM, and CatBoost with a balanced Logistic Regression meta-learner.</w:t>
            </w:r>
          </w:p>
        </w:tc>
        <w:tc>
          <w:tcPr>
            <w:tcW w:type="dxa" w:w="1915"/>
          </w:tcPr>
          <w:p>
            <w:r>
              <w:t>Ensembles multiple diverse estimators to improve voting stability and robustness.</w:t>
            </w:r>
          </w:p>
        </w:tc>
      </w:tr>
      <w:tr>
        <w:tc>
          <w:tcPr>
            <w:tcW w:type="dxa" w:w="1869"/>
          </w:tcPr>
          <w:p>
            <w:r>
              <w:t>Dynamic Hardware Auto-Detection Engine</w:t>
            </w:r>
          </w:p>
        </w:tc>
        <w:tc>
          <w:tcPr>
            <w:tcW w:type="dxa" w:w="1590"/>
          </w:tcPr>
          <w:p>
            <w:r>
              <w:t>Compute &amp; Cross-Device Execution</w:t>
            </w:r>
          </w:p>
        </w:tc>
        <w:tc>
          <w:tcPr>
            <w:tcW w:type="dxa" w:w="1820"/>
          </w:tcPr>
          <w:p>
            <w:r>
              <w:t>Pipeline execution crashes or slows down when running on different GPUs or fallback devices across teammate environments.</w:t>
            </w:r>
          </w:p>
        </w:tc>
        <w:tc>
          <w:tcPr>
            <w:tcW w:type="dxa" w:w="2135"/>
          </w:tcPr>
          <w:p>
            <w:r>
              <w:t>Programmed a dynamic hardware auto-detection engine that dynamically routes PyTorch execution to NVIDIA CUDA, AMD Radeon DirectML, or standard CPU fallback.</w:t>
            </w:r>
          </w:p>
        </w:tc>
        <w:tc>
          <w:tcPr>
            <w:tcW w:type="dxa" w:w="1915"/>
          </w:tcPr>
          <w:p>
            <w:r>
              <w:t>Provides cross-device compatibility, letting any teammate run the notebook on their available hardware without modifications.</w:t>
            </w:r>
          </w:p>
        </w:tc>
      </w:tr>
      <w:tr>
        <w:tc>
          <w:tcPr>
            <w:tcW w:type="dxa" w:w="1869"/>
          </w:tcPr>
          <w:p>
            <w:r>
              <w:t>Custom PyTorch Sklearn Wrapper</w:t>
            </w:r>
          </w:p>
        </w:tc>
        <w:tc>
          <w:tcPr>
            <w:tcW w:type="dxa" w:w="1590"/>
          </w:tcPr>
          <w:p>
            <w:r>
              <w:t>Workflow Compatibility</w:t>
            </w:r>
          </w:p>
        </w:tc>
        <w:tc>
          <w:tcPr>
            <w:tcW w:type="dxa" w:w="1820"/>
          </w:tcPr>
          <w:p>
            <w:r>
              <w:t>Custom PyTorch architectures cannot natively run inside scikit-learn cross-validation, metric generators, or parameter tuning loops.</w:t>
            </w:r>
          </w:p>
        </w:tc>
        <w:tc>
          <w:tcPr>
            <w:tcW w:type="dxa" w:w="2135"/>
          </w:tcPr>
          <w:p>
            <w:r>
              <w:t>Created a custom sklearn-compatible wrapper class inheriting from BaseEstimator and ClassifierMixin to wrap PyTorch architectures.</w:t>
            </w:r>
          </w:p>
        </w:tc>
        <w:tc>
          <w:tcPr>
            <w:tcW w:type="dxa" w:w="1915"/>
          </w:tcPr>
          <w:p>
            <w:r>
              <w:t>Integrates neural models natively into standard evaluation loops, comparisons, and scoring pipelines.</w:t>
            </w:r>
          </w:p>
        </w:tc>
      </w:tr>
      <w:tr>
        <w:tc>
          <w:tcPr>
            <w:tcW w:type="dxa" w:w="1869"/>
          </w:tcPr>
          <w:p>
            <w:r>
              <w:t>1,000-Trial GPU-Accelerated Optuna Search</w:t>
            </w:r>
          </w:p>
        </w:tc>
        <w:tc>
          <w:tcPr>
            <w:tcW w:type="dxa" w:w="1590"/>
          </w:tcPr>
          <w:p>
            <w:r>
              <w:t>Hyperparameter Tuning</w:t>
            </w:r>
          </w:p>
        </w:tc>
        <w:tc>
          <w:tcPr>
            <w:tcW w:type="dxa" w:w="1820"/>
          </w:tcPr>
          <w:p>
            <w:r>
              <w:t>Standard grid searches are slow, low-coverage, and cannot leverage GPU acceleration for tree-based models.</w:t>
            </w:r>
          </w:p>
        </w:tc>
        <w:tc>
          <w:tcPr>
            <w:tcW w:type="dxa" w:w="2135"/>
          </w:tcPr>
          <w:p>
            <w:r>
              <w:t>Integrated Optuna with GPU-accelerated histogram algorithms to perform a massive 1,000-trial hyperparameter search.</w:t>
            </w:r>
          </w:p>
        </w:tc>
        <w:tc>
          <w:tcPr>
            <w:tcW w:type="dxa" w:w="1915"/>
          </w:tcPr>
          <w:p>
            <w:r>
              <w:t>Identified optimal parameters in under 4 minutes, ensuring highly rigorous and complete optimization audits.</w:t>
            </w:r>
          </w:p>
        </w:tc>
      </w:tr>
      <w:tr>
        <w:tc>
          <w:tcPr>
            <w:tcW w:type="dxa" w:w="1869"/>
          </w:tcPr>
          <w:p>
            <w:r>
              <w:t>SVM-only Bypass and models_advanced Routing</w:t>
            </w:r>
          </w:p>
        </w:tc>
        <w:tc>
          <w:tcPr>
            <w:tcW w:type="dxa" w:w="1590"/>
          </w:tcPr>
          <w:p>
            <w:r>
              <w:t>Workflow Efficiency</w:t>
            </w:r>
          </w:p>
        </w:tc>
        <w:tc>
          <w:tcPr>
            <w:tcW w:type="dxa" w:w="1820"/>
          </w:tcPr>
          <w:p>
            <w:r>
              <w:t>Retraining the RBF SVM takes 30+ minutes, causing massive delays when retraining other models from scratch.</w:t>
            </w:r>
          </w:p>
        </w:tc>
        <w:tc>
          <w:tcPr>
            <w:tcW w:type="dxa" w:w="2135"/>
          </w:tcPr>
          <w:p>
            <w:r>
              <w:t>Redirected newly trained checkpoints to models_advanced/ and bypassed SVM training by reloading the original SVM weights from joblib.</w:t>
            </w:r>
          </w:p>
        </w:tc>
        <w:tc>
          <w:tcPr>
            <w:tcW w:type="dxa" w:w="1915"/>
          </w:tcPr>
          <w:p>
            <w:r>
              <w:t>Saves 30+ minutes of redundant training per run while allowing the rest of the 13 models to be retrained and validated from scratch.</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Pr/>
      <w:r>
        <w:t>8. [V5 SOTA] Unsupervised Isolation Forest OOD Rejection Guardrail: Programmed a production-grade input filter that flags and rejects out-of-distribution profile data configurations at inference time to prevent downstream prediction crash or failure.</w:t>
        <w:br/>
        <w:t>9. [V5 SOTA] Double Machine Learning Causal Estimation: Built a two-stage residual causal engine from scratch to isolate Average Treatment Effects (ATE) under high-dimensional confounding, complete with bootstrap 95% confidence intervals.</w:t>
        <w:br/>
        <w:t>10. [V5 SOTA] TabNet-style Attentive Selection Visualization: Developed PyTorch attentive neural blocks that output dynamic softmax feature selection masks per user, plotting active column-wise neural attention in interactive heatmaps.</w:t>
      </w:r>
    </w:p>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16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14:paraId="2E200176" w14:textId="62C4504F" w:rsidR="008E7F84" w:rsidRDefault="007949EA" w:rsidP="007949EA">
      <w:pPr>
        <w:spacing w:after="160"/>
        <w:ind w:left="720" w:hanging="720"/>
        <w:jc w:val="both"/>
      </w:pPr>
      <w:r>
        <w:rPr>
          <w:rFonts w:eastAsia="SimSun" w:hint="eastAsia"/>
          <w:sz w:val="22"/>
          <w:lang w:eastAsia="zh-CN"/>
        </w:rPr>
        <w:t>1</w:t>
      </w:r>
      <w:proofErr w:type="gramStart"/>
      <w:r>
        <w:rPr>
          <w:rFonts w:eastAsia="SimSun" w:hint="eastAsia"/>
          <w:sz w:val="22"/>
          <w:lang w:eastAsia="zh-CN"/>
        </w:rPr>
        <w:t xml:space="preserve">.  </w:t>
      </w:r>
      <w:r w:rsidR="00000000">
        <w:rPr>
          <w:sz w:val="22"/>
        </w:rPr>
        <w:t>Chen</w:t>
      </w:r>
      <w:proofErr w:type="gramEnd"/>
      <w:r w:rsidR="00000000">
        <w:rPr>
          <w:sz w:val="22"/>
        </w:rPr>
        <w:t>, T., &amp; Guestrin, C. (2016). XGBoost: A scalable tree boosting system. In Proceedings of the 22nd ACM SIGKDD International Conference on Knowledge Discovery and Data Mining (pp. 785-794). ACM. https://doi.org/10.1145/2939672.2939785</w:t>
      </w:r>
    </w:p>
    <w:p w14:paraId="1CE4DC6B" w14:textId="2A76E59D" w:rsidR="008E7F84" w:rsidRDefault="007949EA" w:rsidP="007949EA">
      <w:pPr>
        <w:spacing w:after="160"/>
        <w:ind w:left="720" w:hanging="720"/>
        <w:jc w:val="both"/>
      </w:pPr>
      <w:r>
        <w:rPr>
          <w:rFonts w:eastAsia="SimSun" w:hint="eastAsia"/>
          <w:sz w:val="22"/>
          <w:lang w:eastAsia="zh-CN"/>
        </w:rPr>
        <w:t xml:space="preserve">2. </w:t>
      </w:r>
      <w:r w:rsidR="00000000">
        <w:rPr>
          <w:sz w:val="22"/>
        </w:rPr>
        <w:t>Lundberg, S. M., &amp; Lee, S.-I. (2017). A unified approach to interpreting model predictions. In Advances in Neural Information Processing Systems (Vol. 30, pp. 4765-4774). Curran Associates, Inc.</w:t>
      </w:r>
    </w:p>
    <w:p w14:paraId="12E8B277" w14:textId="4AB28146" w:rsidR="008E7F84" w:rsidRDefault="007949EA" w:rsidP="007949EA">
      <w:pPr>
        <w:spacing w:after="160"/>
        <w:ind w:left="720" w:hanging="720"/>
        <w:jc w:val="both"/>
      </w:pPr>
      <w:r>
        <w:rPr>
          <w:rFonts w:eastAsia="SimSun" w:hint="eastAsia"/>
          <w:sz w:val="22"/>
          <w:lang w:eastAsia="zh-CN"/>
        </w:rPr>
        <w:t xml:space="preserve">3. </w:t>
      </w:r>
      <w:r w:rsidR="00000000">
        <w:rPr>
          <w:sz w:val="22"/>
        </w:rPr>
        <w:t xml:space="preserve">Nisar, K. (2026). Dating App Behavior </w:t>
      </w:r>
      <w:proofErr w:type="spellStart"/>
      <w:proofErr w:type="gramStart"/>
      <w:r w:rsidR="00000000">
        <w:rPr>
          <w:sz w:val="22"/>
        </w:rPr>
        <w:t>Dataset.Kaggle.https</w:t>
      </w:r>
      <w:proofErr w:type="spellEnd"/>
      <w:r w:rsidR="00000000">
        <w:rPr>
          <w:sz w:val="22"/>
        </w:rPr>
        <w:t>://www.kaggle.com/datasets/</w:t>
      </w:r>
      <w:proofErr w:type="gramEnd"/>
      <w:r>
        <w:rPr>
          <w:rFonts w:eastAsia="SimSun"/>
          <w:sz w:val="22"/>
          <w:lang w:eastAsia="zh-CN"/>
        </w:rPr>
        <w:br/>
      </w:r>
      <w:proofErr w:type="spellStart"/>
      <w:r w:rsidR="00000000">
        <w:rPr>
          <w:sz w:val="22"/>
        </w:rPr>
        <w:t>keyushnisar</w:t>
      </w:r>
      <w:proofErr w:type="spellEnd"/>
      <w:r w:rsidR="00000000">
        <w:rPr>
          <w:sz w:val="22"/>
        </w:rPr>
        <w:t>/dating-app-behavior-dataset</w:t>
      </w:r>
    </w:p>
    <w:p w14:paraId="04133E8D" w14:textId="2D06EE7C" w:rsidR="008E7F84" w:rsidRDefault="007949EA" w:rsidP="007949EA">
      <w:pPr>
        <w:spacing w:after="160"/>
        <w:ind w:left="720" w:hanging="720"/>
        <w:jc w:val="both"/>
      </w:pPr>
      <w:r>
        <w:rPr>
          <w:rFonts w:eastAsia="SimSun" w:hint="eastAsia"/>
          <w:sz w:val="22"/>
          <w:lang w:eastAsia="zh-CN"/>
        </w:rPr>
        <w:t xml:space="preserve">4. </w:t>
      </w:r>
      <w:r w:rsidR="00000000">
        <w:rPr>
          <w:sz w:val="22"/>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715346FD" w14:textId="7078854E" w:rsidR="008E7F84" w:rsidRDefault="007949EA" w:rsidP="007949EA">
      <w:pPr>
        <w:spacing w:after="160"/>
        <w:ind w:left="720" w:hanging="720"/>
        <w:jc w:val="both"/>
      </w:pPr>
      <w:r>
        <w:rPr>
          <w:rFonts w:eastAsia="SimSun" w:hint="eastAsia"/>
          <w:sz w:val="22"/>
          <w:lang w:eastAsia="zh-CN"/>
        </w:rPr>
        <w:t xml:space="preserve">5. </w:t>
      </w:r>
      <w:r w:rsidR="00000000">
        <w:rPr>
          <w:sz w:val="22"/>
        </w:rPr>
        <w:t>Universiti Malaya. (2026). WIA1006/WID3006 Machine Learning Group Assignment Guidelines. Faculty of Computer Science and Information Technology, University of Malaya.</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