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BC4774">
      <w:pPr>
        <w:keepNext w:val="0"/>
        <w:keepLines w:val="0"/>
        <w:pageBreakBefore w:val="0"/>
        <w:widowControl/>
        <w:kinsoku/>
        <w:wordWrap/>
        <w:overflowPunct/>
        <w:topLinePunct w:val="0"/>
        <w:autoSpaceDE/>
        <w:autoSpaceDN/>
        <w:bidi w:val="0"/>
        <w:adjustRightInd/>
        <w:snapToGrid/>
        <w:spacing w:after="20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b/>
          <w:bCs/>
          <w:sz w:val="24"/>
          <w:szCs w:val="24"/>
        </w:rPr>
        <w:t>DistriQuery — Literature Review</w:t>
      </w:r>
    </w:p>
    <w:p w14:paraId="39D14316">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i/>
          <w:iCs/>
          <w:sz w:val="24"/>
          <w:szCs w:val="24"/>
        </w:rPr>
        <w:t>Note on citations: this draft cites papers from the Phase 1 reading list using (Author, Year) format. As flagged throughout this process, several entries (marked ⚠ in Phase 1) still need a live verification pass before this goes into a real submission — treat this draft as structurally and argumentatively complete, but citation-unconfirmed.</w:t>
      </w:r>
    </w:p>
    <w:p w14:paraId="4F1AE59C">
      <w:pPr>
        <w:pStyle w:val="2"/>
        <w:keepNext w:val="0"/>
        <w:keepLines w:val="0"/>
        <w:pageBreakBefore w:val="0"/>
        <w:widowControl/>
        <w:kinsoku/>
        <w:wordWrap/>
        <w:overflowPunct/>
        <w:topLinePunct w:val="0"/>
        <w:autoSpaceDE/>
        <w:autoSpaceDN/>
        <w:bidi w:val="0"/>
        <w:adjustRightInd/>
        <w:snapToGrid/>
        <w:spacing w:before="320" w:after="16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1. Information Retrieval</w:t>
      </w:r>
    </w:p>
    <w:p w14:paraId="6DEC43FF">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Modern retrieval systems sit on a spectrum between lexical and semantic matching, </w:t>
      </w:r>
      <w:bookmarkStart w:id="0" w:name="_GoBack"/>
      <w:bookmarkEnd w:id="0"/>
      <w:r>
        <w:rPr>
          <w:rFonts w:hint="default" w:ascii="Times New Roman" w:hAnsi="Times New Roman" w:eastAsia="Calibri" w:cs="Times New Roman"/>
          <w:sz w:val="24"/>
          <w:szCs w:val="24"/>
        </w:rPr>
        <w:t>and understanding that spectrum is a prerequisite for any RAG design decision. Classical retrieval is built on term-weighting schemes, most notably BM25 (Robertson &amp; Zaragoza, 2009), which scores a document against a query by combining inverse document frequency with a saturating term-frequency function and a document-length normalization term. BM25 remains a strong, zero-shot, fully interpretable baseline, and its central weakness — an inability to match semantically related but lexically distinct terms — motivated the shift toward dense retrieval.</w:t>
      </w:r>
    </w:p>
    <w:p w14:paraId="72FF95F6">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Dense Passage Retrieval (Karpukhin et al., 2020) demonstrated that a bi-encoder trained with in-batch negatives could outperform BM25 on open-domain QA by encoding queries and passages into a shared vector space and ranking by similarity. This bi-encoder pattern — independent encoding, enabling precomputed document embeddings — is what makes dense retrieval tractable at scale, in contrast to the more accurate but computationally prohibitive cross-encoder architectures used in later-stage reranking. ColBERT (Khattab &amp; Zaharia, 2020) proposed a middle ground, using token-level "late interaction" to retain more of the cross-encoder's precision while remaining index-able, and SPLADE (Formal et al., 2021) took a different middle path, learning sparse term-expansion representations that preserve BM25-style interpretability while capturing some semantic generalization. DistriQuery adopts hybrid BM25+dense retrieval rather than late-interaction or learned-sparse methods primarily for operational reasons: ColBERT's per-token index and SPLADE's expansion vocabularies both increase index size and query latency in ways that are difficult to predict under multi-tenant load, while BM25+dense hybrid retrieval has well-characterised latency profiles in the pgvector and Elasticsearch literature.</w:t>
      </w:r>
    </w:p>
    <w:p w14:paraId="7707C426">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None of these methods scale by brute-force comparison against every stored vector. Johnson et al.'s FAISS work on billion-scale similarity search (Johnson, Douze &amp; Jégou, 2019) formalised the approximate nearest-neighbor (ANN) techniques — inverted-file indexing and product quantization — that underlie essentially every production vector database used in RAG systems today, including the ones under consideration for DistriQuery (Qdrant, Milvus, Weaviate, pgvector). This body of work establishes two points directly relevant to system design: first, that hybrid retrieval (combining lexical and dense signals) is not a novelty but an empirically motivated response to each method's distinct failure mode; and second, that the </w:t>
      </w:r>
      <w:r>
        <w:rPr>
          <w:rFonts w:hint="default" w:ascii="Times New Roman" w:hAnsi="Times New Roman" w:eastAsia="Calibri" w:cs="Times New Roman"/>
          <w:i/>
          <w:iCs/>
          <w:sz w:val="24"/>
          <w:szCs w:val="24"/>
        </w:rPr>
        <w:t>choice</w:t>
      </w:r>
      <w:r>
        <w:rPr>
          <w:rFonts w:hint="default" w:ascii="Times New Roman" w:hAnsi="Times New Roman" w:eastAsia="Calibri" w:cs="Times New Roman"/>
          <w:sz w:val="24"/>
          <w:szCs w:val="24"/>
        </w:rPr>
        <w:t xml:space="preserve"> of ANN index structure is not a minor implementation detail but a recall/speed/memory tradeoff that should be justified against the system's actual scale and query patterns, not selected by popularity.</w:t>
      </w:r>
    </w:p>
    <w:p w14:paraId="4F3739F4">
      <w:pPr>
        <w:pStyle w:val="2"/>
        <w:keepNext w:val="0"/>
        <w:keepLines w:val="0"/>
        <w:pageBreakBefore w:val="0"/>
        <w:widowControl/>
        <w:kinsoku/>
        <w:wordWrap/>
        <w:overflowPunct/>
        <w:topLinePunct w:val="0"/>
        <w:autoSpaceDE/>
        <w:autoSpaceDN/>
        <w:bidi w:val="0"/>
        <w:adjustRightInd/>
        <w:snapToGrid/>
        <w:spacing w:before="320" w:after="16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2. Retrieval-Augmented Generation</w:t>
      </w:r>
    </w:p>
    <w:p w14:paraId="5A584AAC">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Retrieval-augmented generation, in its now-canonical form, was introduced by Lewis et al. (2020), who proposed jointly training a retriever and a sequence-to-sequence generator, with the model marginalising over top-k retrieved passages during generation. This addressed a specific weakness of purely parametric language models: their knowledge is frozen at training time and cannot be easily audited or updated. REALM (Guu et al., 2020) pursued a related but distinct idea, baking retrieval directly into language model pretraining rather than treating it as an inference-time augmentation — a more expensive approach that is less directly applicable to systems, like DistriQuery, built on inference-time retrieval over an off-the-shelf LLM.</w:t>
      </w:r>
    </w:p>
    <w:p w14:paraId="51BAF5EA">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Naive RAG, however, has well-documented failure modes that motivate most of the subsequent literature. Retrieval quality and generation faithfulness are empirically separable: a system can retrieve the correct evidence and still generate an unfaithful answer, or retrieve irrelevant evidence and still produce a plausible-sounding but ungrounded response. Additionally, LLMs exhibit positional bias in how they use long contexts (Liu et al., 2024) — information placed in the middle of a long prompt is used less reliably than information at the beginning or end — meaning that </w:t>
      </w:r>
      <w:r>
        <w:rPr>
          <w:rFonts w:hint="default" w:ascii="Times New Roman" w:hAnsi="Times New Roman" w:eastAsia="Calibri" w:cs="Times New Roman"/>
          <w:i/>
          <w:iCs/>
          <w:sz w:val="24"/>
          <w:szCs w:val="24"/>
        </w:rPr>
        <w:t>how</w:t>
      </w:r>
      <w:r>
        <w:rPr>
          <w:rFonts w:hint="default" w:ascii="Times New Roman" w:hAnsi="Times New Roman" w:eastAsia="Calibri" w:cs="Times New Roman"/>
          <w:sz w:val="24"/>
          <w:szCs w:val="24"/>
        </w:rPr>
        <w:t xml:space="preserve"> retrieved context is assembled into a prompt, not just </w:t>
      </w:r>
      <w:r>
        <w:rPr>
          <w:rFonts w:hint="default" w:ascii="Times New Roman" w:hAnsi="Times New Roman" w:eastAsia="Calibri" w:cs="Times New Roman"/>
          <w:i/>
          <w:iCs/>
          <w:sz w:val="24"/>
          <w:szCs w:val="24"/>
        </w:rPr>
        <w:t>what</w:t>
      </w:r>
      <w:r>
        <w:rPr>
          <w:rFonts w:hint="default" w:ascii="Times New Roman" w:hAnsi="Times New Roman" w:eastAsia="Calibri" w:cs="Times New Roman"/>
          <w:sz w:val="24"/>
          <w:szCs w:val="24"/>
        </w:rPr>
        <w:t xml:space="preserve"> is retrieved, affects answer quality. These failure modes are the direct motivation for the "advanced RAG" techniques discussed next, and they are also why DistriQuery's evaluation framework (Phase 6) must measure retrieval and generation quality as separate metrics rather than a single end-to-end score.</w:t>
      </w:r>
    </w:p>
    <w:p w14:paraId="2DD94784">
      <w:pPr>
        <w:pStyle w:val="2"/>
        <w:keepNext w:val="0"/>
        <w:keepLines w:val="0"/>
        <w:pageBreakBefore w:val="0"/>
        <w:widowControl/>
        <w:kinsoku/>
        <w:wordWrap/>
        <w:overflowPunct/>
        <w:topLinePunct w:val="0"/>
        <w:autoSpaceDE/>
        <w:autoSpaceDN/>
        <w:bidi w:val="0"/>
        <w:adjustRightInd/>
        <w:snapToGrid/>
        <w:spacing w:before="320" w:after="16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3. Advanced &amp; Agentic RAG</w:t>
      </w:r>
    </w:p>
    <w:p w14:paraId="7C6364F0">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A first cluster of work addresses naive RAG's failure modes by adding self-correction to the pipeline. Self-RAG (Asai et al., 2023) trains a model to emit special "reflection tokens" that signal whether retrieval is needed at all, and whether generated content is actually supported by retrieved evidence — turning retrieval and self-critique into learned, integrated behaviours rather than fixed pipeline stages. Corrective RAG (Yan et al., 2024) proposes a lighter-weight variant: a separate retrieval evaluator grades retrieved documents and triggers a corrective action (such as a web-search fallback) when retrieval quality is judged insufficient. Both approaches share a common structural idea — inserting an explicit judgment step between retrieval and generation — that maps directly onto the query-planner component in DistriQuery's architecture.</w:t>
      </w:r>
    </w:p>
    <w:p w14:paraId="634FFE61">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A second cluster addresses questions that a single retrieval step cannot answer. Multi-hop dense retrieval (Xiong et al., 2021) retrieves iteratively, using evidence found in one hop to reformulate the query for the next, at the cost of compounding errors across hops and requiring an explicit stopping condition. GraphRAG (Edge et al., 2024) takes a structurally different approach for a different class of query — building an LLM-derived knowledge graph and hierarchical community summaries at ingestion time to support corpus-wide synthesis questions that point-retrieval methods handle poorly, at a substantially higher indexing cost.</w:t>
      </w:r>
    </w:p>
    <w:p w14:paraId="46AFC18D">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A third cluster, agentic RAG, treats retrieval as one action among several an LLM can choose to take. ReAct (Yao et al., 2023) established the foundational pattern of interleaving explicit reasoning with actions and observations in a loop, allowing a model to decide, at each step, whether to retrieve, call a tool, or answer. Toolformer (Schick et al., 2023) addressed a related but distinct problem — how a model learns </w:t>
      </w:r>
      <w:r>
        <w:rPr>
          <w:rFonts w:hint="default" w:ascii="Times New Roman" w:hAnsi="Times New Roman" w:eastAsia="Calibri" w:cs="Times New Roman"/>
          <w:i/>
          <w:iCs/>
          <w:sz w:val="24"/>
          <w:szCs w:val="24"/>
        </w:rPr>
        <w:t>when</w:t>
      </w:r>
      <w:r>
        <w:rPr>
          <w:rFonts w:hint="default" w:ascii="Times New Roman" w:hAnsi="Times New Roman" w:eastAsia="Calibri" w:cs="Times New Roman"/>
          <w:sz w:val="24"/>
          <w:szCs w:val="24"/>
        </w:rPr>
        <w:t xml:space="preserve"> a tool call is useful, via self-supervised generation and filtering of its own tool-use examples, rather than through prompting alone. Two further papers refine </w:t>
      </w:r>
      <w:r>
        <w:rPr>
          <w:rFonts w:hint="default" w:ascii="Times New Roman" w:hAnsi="Times New Roman" w:eastAsia="Calibri" w:cs="Times New Roman"/>
          <w:i/>
          <w:iCs/>
          <w:sz w:val="24"/>
          <w:szCs w:val="24"/>
        </w:rPr>
        <w:t>when</w:t>
      </w:r>
      <w:r>
        <w:rPr>
          <w:rFonts w:hint="default" w:ascii="Times New Roman" w:hAnsi="Times New Roman" w:eastAsia="Calibri" w:cs="Times New Roman"/>
          <w:sz w:val="24"/>
          <w:szCs w:val="24"/>
        </w:rPr>
        <w:t xml:space="preserve"> retrieval should be triggered specifically: FLARE (Jiang et al., 2023) retrieves reactively, based on a drop in the model's own generation confidence mid-answer, while Adaptive-RAG (Jeong et al., 2024) routes queries proactively, using a trained query-complexity classifier to decide upfront between no-retrieval, single-step, and multi-step retrieval strategies. Adaptive-RAG's proactive routing pattern is the closest existing analogue to DistriQuery's own query-planner design, though — as discussed in Section 8 — none of this cluster's methods are evaluated under multi-tenant authorisation constraints or explicit cost/latency budgets, both of which are first-class concerns for DistriQuery.</w:t>
      </w:r>
    </w:p>
    <w:p w14:paraId="4F783E66">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A parallel line of work addresses inference cost through semantic caching. GPTCache (Bang et al., 2023) introduced a cache layer that intercepts LLM queries by embedding the input and retrieving a previously generated response if a semantically similar query has been seen, substantially reducing redundant generation calls. This approach is strictly more powerful than exact-match caching but introduces a precision/recall tradeoff on cache hits: an overly permissive similarity threshold serves stale or mismatched answers. Neither GPTCache nor subsequent caching work addresses the invalidation problem that arises in a continuously-ingested, multi-tenant corpus — when a new document version supersedes a cached answer's evidence, the cached response may become factually incorrect for some tenants but not others. This is a distinct failure mode from the adversarial and schema-design concerns addressed in §5, and one DistriQuery's architecture must account for.</w:t>
      </w:r>
    </w:p>
    <w:p w14:paraId="7FB23B17">
      <w:pPr>
        <w:pStyle w:val="2"/>
        <w:keepNext w:val="0"/>
        <w:keepLines w:val="0"/>
        <w:pageBreakBefore w:val="0"/>
        <w:widowControl/>
        <w:kinsoku/>
        <w:wordWrap/>
        <w:overflowPunct/>
        <w:topLinePunct w:val="0"/>
        <w:autoSpaceDE/>
        <w:autoSpaceDN/>
        <w:bidi w:val="0"/>
        <w:adjustRightInd/>
        <w:snapToGrid/>
        <w:spacing w:before="320" w:after="16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4. Distributed RAG Systems</w:t>
      </w:r>
    </w:p>
    <w:p w14:paraId="10722EEB">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This is the thinnest section of the review by necessity: the distributed-systems literature underlying DistriQuery's ingestion and serving infrastructure is largely general-purpose rather than RAG-specific, and that absence is itself informative. MapReduce (Dean &amp; Ghemawat, 2004) established the foundational pattern of automatic parallelisation and failure recovery for large-scale data processing, though its batch-oriented model is a poor fit for the low-latency, continuous ingestion DistriQuery requires — which is precisely the gap that log-structured streaming systems like Kafka (Kreps, Narkhede &amp; Rao, 2011) fill, offering partitioned, replicated, consumer-group-based processing that maps directly onto a "distributed workers" ingestion design. Dapper (Sigelman et al., 2010) established the distributed-tracing model — request-scoped trace and span propagation — that underlies modern observability tooling (including OpenTelemetry), and is essential once a system's request path spans multiple independent services, as an agentic RAG pipeline's does.</w:t>
      </w:r>
    </w:p>
    <w:p w14:paraId="1B8CAE54">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None of these three papers engage with retrieval quality, document versioning, or RAG-specific failure semantics at all — they are systems primitives DistriQuery borrows and adapts, not prior work it extends. This absence of literature at the intersection of distributed-systems reliability and RAG-quality evaluation is the central thread this review returns to in Section 8.</w:t>
      </w:r>
    </w:p>
    <w:p w14:paraId="14659ABD">
      <w:pPr>
        <w:pStyle w:val="2"/>
        <w:keepNext w:val="0"/>
        <w:keepLines w:val="0"/>
        <w:pageBreakBefore w:val="0"/>
        <w:widowControl/>
        <w:kinsoku/>
        <w:wordWrap/>
        <w:overflowPunct/>
        <w:topLinePunct w:val="0"/>
        <w:autoSpaceDE/>
        <w:autoSpaceDN/>
        <w:bidi w:val="0"/>
        <w:adjustRightInd/>
        <w:snapToGrid/>
        <w:spacing w:before="320" w:after="16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5. Multi-Tenant RAG &amp; Security</w:t>
      </w:r>
    </w:p>
    <w:p w14:paraId="2F61FF7C">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Multi-tenancy is a well-studied database design problem, but the literature predates the retrieval architectures RAG systems depend on. Aulbach et al. (2008) compared schema-per-tenant, shared-schema, and hybrid multi-tenancy models for relational databases, establishing the isolation-versus-efficiency tradeoff that any multi-tenant system must navigate — but their schema-mapping techniques do not directly address vector-store partitioning, requiring translation rather than direct reuse for a system like DistriQuery.</w:t>
      </w:r>
    </w:p>
    <w:p w14:paraId="5A0B0894">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LLM-integrated systems introduce a security surface that prior work does not anticipate. Greshake et al. (2023) demonstrated indirect prompt injection — adversarial instructions embedded in retrieved or tool-sourced content, rather than the user's own query, that an LLM may nonetheless obey — establishing that RAG systems must treat retrieved content as untrusted input, not as implicitly trusted context. PoisonedRAG (Zou et al., 2024) extended this threat model to the corpus itself, demonstrating that a small number of adversarially optimised documents injected into a corpus can reliably corrupt a RAG system's outputs on targeted queries. Neither paper, however, addresses the specific case DistriQuery must handle: a corpus with multiple tenants, where isolation failures can occur even absent any adversarial intent, purely as an architectural bug. This is a distinct threat category from either paper's focus, and one this review returns to as a research gap in Section 8.</w:t>
      </w:r>
    </w:p>
    <w:p w14:paraId="4EAEAA20">
      <w:pPr>
        <w:pStyle w:val="2"/>
        <w:keepNext w:val="0"/>
        <w:keepLines w:val="0"/>
        <w:pageBreakBefore w:val="0"/>
        <w:widowControl/>
        <w:kinsoku/>
        <w:wordWrap/>
        <w:overflowPunct/>
        <w:topLinePunct w:val="0"/>
        <w:autoSpaceDE/>
        <w:autoSpaceDN/>
        <w:bidi w:val="0"/>
        <w:adjustRightInd/>
        <w:snapToGrid/>
        <w:spacing w:before="320" w:after="16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6. RAG Evaluation</w:t>
      </w:r>
    </w:p>
    <w:p w14:paraId="153D2FAA">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Evaluating RAG systems requires separately assessing retrieval and generation quality, since the two fail independently. Retrieval quality is measured using standard information-retrieval metrics — Precision@K, Recall@K, Mean Reciprocal Rank, and NDCG — with NDCG's support for graded (rather than binary) relevance judgments being particularly relevant to chunk-level retrieval, where a passage is rarely simply relevant or irrelevant but relevant-to-a-degree. KILT (Petroni et al., 2021) provides a shared protocol and dataset for evaluating retrieval across multiple knowledge-intensive tasks, though its reliance on a single Wikipedia snapshot limits its direct reuse for a domain-specific corpus.</w:t>
      </w:r>
    </w:p>
    <w:p w14:paraId="1C324E08">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Generation quality is harder to measure without expensive human annotation, motivating a cluster of LLM-as-judge frameworks. RAGAS (Es et al., 2023) decomposes generated answers into atomic claims and checks each against retrieved context to compute faithfulness, alongside answer-relevance and context-precision/recall metrics — all reference-free, requiring no hand-labeled ground truth. ARES (Saad-Falcon et al., 2024) pursues a similar goal with a different cost/reliability tradeoff: rather than relying purely on LLM judgment, it trains lightweight classifiers on synthetic data and calibrates them against a small human-labeled set using prediction-powered inference, trading setup complexity for reduced dependence on a single judge model's biases. RGB (Chen et al., 2023) takes a different approach entirely, isolating specific RAG failure modes — noise robustness, negative rejection, information integration, counterfactual robustness — through controlled corpus perturbation, offering a methodological template (rather than a reusable dataset) for designing targeted failure-mode experiments.</w:t>
      </w:r>
    </w:p>
    <w:p w14:paraId="4B803C69">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A consistent limitation across this entire cluster is scope: every framework here evaluates retrieval and generation quality exclusively. None incorporate operational or systems-level metrics — latency under concurrent load, fairness of resource allocation across tenants, or quality degradation during infrastructure failures — leaving a clear methodological gap for any system, like DistriQuery, whose evaluation must span both dimensions.</w:t>
      </w:r>
    </w:p>
    <w:p w14:paraId="5A6781BE">
      <w:pPr>
        <w:pStyle w:val="2"/>
        <w:keepNext w:val="0"/>
        <w:keepLines w:val="0"/>
        <w:pageBreakBefore w:val="0"/>
        <w:widowControl/>
        <w:kinsoku/>
        <w:wordWrap/>
        <w:overflowPunct/>
        <w:topLinePunct w:val="0"/>
        <w:autoSpaceDE/>
        <w:autoSpaceDN/>
        <w:bidi w:val="0"/>
        <w:adjustRightInd/>
        <w:snapToGrid/>
        <w:spacing w:before="320" w:after="16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7. Multimodal / Video-RAG</w:t>
      </w:r>
    </w:p>
    <w:p w14:paraId="1091216E">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Extending retrieval beyond text requires a shared representation space across modalities. CLIP (Radford et al., 2021) established that contrastive pretraining on web-scale image-text pairs produces a joint embedding space enabling direct text-to-image similarity search, though this representation is frame-level rather than video-native, with no temporal modelling. ImageBind (Girdhar et al., 2023) extended this idea to six modalities — including audio — by anchoring alignment through images rather than requiring paired data for every modality combination, at the cost of weaker alignment for modality pairs (such as audio-to-text) that are only indirectly linked.</w:t>
      </w:r>
    </w:p>
    <w:p w14:paraId="6E6A3EAB">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VideoAgent (Wang et al., 2024) addresses a distinct problem within video retrieval: long videos cannot be processed frame-by-frame within an LLM's context window, so an agentic loop is used to iteratively select which frames or segments merit inspection, closely paralleling the agentic retrieval patterns discussed in Section 3, but applied to video evidence-gathering rather than text retrieval. Earlier work on temporal grounding, such as TALL (Gao et al., 2017), established the underlying task of localising a natural-language query to a specific time span in a video, though using pre-transformer architectures unsuited to long, unstructured content such as full lecture recordings. Whisper (Radford et al., 2022) provides the transcript-generation component this pipeline depends on — a robust, general-purpose speech-to-text system that does not itself address how transcript segments become retrievable units, which remains a downstream design decision.</w:t>
      </w:r>
    </w:p>
    <w:p w14:paraId="75245520">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Embedding model selection and chunking strategy are two further design decisions that the Video-RAG and multimodal literature leaves largely implicit. For text-based dense retrieval, Sentence-BERT (Reimers &amp; Gurevych, 2019) established the bi-encoder fine-tuning paradigm that underlies most modern sentence-embedding models, demonstrating that siamese BERT networks trained on natural language inference data produce embeddings far better suited to semantic similarity than raw BERT representations. Chunking granularity — how source documents are split before embedding — directly affects both retrieval precision and the coherence of context passed to the generator. The passage-granularity conventions established in the DPR literature (Karpukhin et al., 2020) provide a practical baseline: 100-word non-overlapping passages for open-domain QA corpora. For lecture video, where slide transitions offer a natural segmentation signal, content-aware chunking may outperform fixed-size splitting — this is part of the hypothesised gap identified in Section 8.</w:t>
      </w:r>
    </w:p>
    <w:p w14:paraId="35D19C89">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Across this cluster, a consistent gap for DistriQuery's specific use case emerges: existing Video-RAG work targets general web, egocentric, or movie video, and does not evaluate performance on structured educational content — lecture video combining speech, on-screen slides, and on-screen code or diagrams — where structural cues like slide transitions may offer a cheaper and more reliable temporal segmentation signal than the general-purpose methods surveyed here.</w:t>
      </w:r>
    </w:p>
    <w:p w14:paraId="36B32EDA">
      <w:pPr>
        <w:pStyle w:val="2"/>
        <w:keepNext w:val="0"/>
        <w:keepLines w:val="0"/>
        <w:pageBreakBefore w:val="0"/>
        <w:widowControl/>
        <w:kinsoku/>
        <w:wordWrap/>
        <w:overflowPunct/>
        <w:topLinePunct w:val="0"/>
        <w:autoSpaceDE/>
        <w:autoSpaceDN/>
        <w:bidi w:val="0"/>
        <w:adjustRightInd/>
        <w:snapToGrid/>
        <w:spacing w:before="320" w:after="16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8. Research Gap</w:t>
      </w:r>
    </w:p>
    <w:p w14:paraId="0640C9A4">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Synthesising across the preceding sections reveals a consistent pattern: the literature on retrieval quality, RAG failure-mode correction, agentic control, and evaluation methodology (Sections 1, 2, 3, and 6) is extensive and mature, but assumes a corpus that is static, single-tenant, and reliably available. The literature on distributed systems reliability (Section 4) is equally mature but entirely general-purpose, with no engagement with retrieval-quality concerns at all. The multi-tenancy and security literature (Section 5) is comparatively thin and, where it exists, addresses either database schema design (predating vector retrieval) or adversarial threats to a single-tenant corpus — not the isolation guarantees a </w:t>
      </w:r>
      <w:r>
        <w:rPr>
          <w:rFonts w:hint="default" w:ascii="Times New Roman" w:hAnsi="Times New Roman" w:eastAsia="Calibri" w:cs="Times New Roman"/>
          <w:i/>
          <w:iCs/>
          <w:sz w:val="24"/>
          <w:szCs w:val="24"/>
        </w:rPr>
        <w:t>multi-tenant</w:t>
      </w:r>
      <w:r>
        <w:rPr>
          <w:rFonts w:hint="default" w:ascii="Times New Roman" w:hAnsi="Times New Roman" w:eastAsia="Calibri" w:cs="Times New Roman"/>
          <w:sz w:val="24"/>
          <w:szCs w:val="24"/>
        </w:rPr>
        <w:t xml:space="preserve"> RAG system's retrieval layer must provide.</w:t>
      </w:r>
    </w:p>
    <w:p w14:paraId="6CD424FC">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This yields one </w:t>
      </w:r>
      <w:r>
        <w:rPr>
          <w:rFonts w:hint="default" w:ascii="Times New Roman" w:hAnsi="Times New Roman" w:eastAsia="Calibri" w:cs="Times New Roman"/>
          <w:b/>
          <w:bCs/>
          <w:sz w:val="24"/>
          <w:szCs w:val="24"/>
        </w:rPr>
        <w:t>established gap</w:t>
      </w:r>
      <w:r>
        <w:rPr>
          <w:rFonts w:hint="default" w:ascii="Times New Roman" w:hAnsi="Times New Roman" w:eastAsia="Calibri" w:cs="Times New Roman"/>
          <w:sz w:val="24"/>
          <w:szCs w:val="24"/>
        </w:rPr>
        <w:t xml:space="preserve"> with direct empirical grounding in the absence observed above: no reviewed work measures how distributed-systems failure modes — ingestion-worker crashes, duplicate event delivery, stale document versions — propagate into retrieval-quality and answer-faithfulness degradation. This gap is structurally forced by the fact that Sections 4 and 6 (systems reliability and RAG evaluation, respectively) share no common literature in this review.</w:t>
      </w:r>
    </w:p>
    <w:p w14:paraId="50755E8E">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A second, narrower established gap concerns agentic query control under constraints: the agentic RAG literature in Section 3 uniformly assumes unconstrained access to retrieval and generation calls, with no treatment of per-tenant authorisation scope or explicit cost/latency budgets as routing constraints.</w:t>
      </w:r>
    </w:p>
    <w:p w14:paraId="097F6EAF">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A third gap — whether lecture-structured video content is well-served by general-purpose Video-RAG methods, or requires content-specific temporal segmentation — is treated here as a </w:t>
      </w:r>
      <w:r>
        <w:rPr>
          <w:rFonts w:hint="default" w:ascii="Times New Roman" w:hAnsi="Times New Roman" w:eastAsia="Calibri" w:cs="Times New Roman"/>
          <w:b/>
          <w:bCs/>
          <w:sz w:val="24"/>
          <w:szCs w:val="24"/>
        </w:rPr>
        <w:t>hypothesised, preliminary gap</w:t>
      </w:r>
      <w:r>
        <w:rPr>
          <w:rFonts w:hint="default" w:ascii="Times New Roman" w:hAnsi="Times New Roman" w:eastAsia="Calibri" w:cs="Times New Roman"/>
          <w:sz w:val="24"/>
          <w:szCs w:val="24"/>
        </w:rPr>
        <w:t>, since it depends on literature this review has not exhaustively searched, and should be verified rather than assumed before being treated as a genuine contribution.</w:t>
      </w:r>
    </w:p>
    <w:p w14:paraId="77974C5E">
      <w:pPr>
        <w:pStyle w:val="2"/>
        <w:keepNext w:val="0"/>
        <w:keepLines w:val="0"/>
        <w:pageBreakBefore w:val="0"/>
        <w:widowControl/>
        <w:kinsoku/>
        <w:wordWrap/>
        <w:overflowPunct/>
        <w:topLinePunct w:val="0"/>
        <w:autoSpaceDE/>
        <w:autoSpaceDN/>
        <w:bidi w:val="0"/>
        <w:adjustRightInd/>
        <w:snapToGrid/>
        <w:spacing w:before="320" w:after="16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9. Motivation for DistriQuery</w:t>
      </w:r>
    </w:p>
    <w:p w14:paraId="2B3A7FA3">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The gap identified above is not an argument for building distributed infrastructure for its own sake — the project brief's own caution against overengineering applies here. It is an argument that </w:t>
      </w:r>
      <w:r>
        <w:rPr>
          <w:rFonts w:hint="default" w:ascii="Times New Roman" w:hAnsi="Times New Roman" w:eastAsia="Calibri" w:cs="Times New Roman"/>
          <w:i/>
          <w:iCs/>
          <w:sz w:val="24"/>
          <w:szCs w:val="24"/>
        </w:rPr>
        <w:t>evaluating</w:t>
      </w:r>
      <w:r>
        <w:rPr>
          <w:rFonts w:hint="default" w:ascii="Times New Roman" w:hAnsi="Times New Roman" w:eastAsia="Calibri" w:cs="Times New Roman"/>
          <w:sz w:val="24"/>
          <w:szCs w:val="24"/>
        </w:rPr>
        <w:t xml:space="preserve"> RAG techniques exclusively on static, single-tenant corpora, as the current literature does almost without exception, leaves an open empirical question with direct practical consequence: production RAG systems are not static or single-tenant, and if retrieval quality degrades measurably under realistic ingestion failures or multi-tenant load, that degradation is currently undocumented in the literature this review surveyed.</w:t>
      </w:r>
    </w:p>
    <w:p w14:paraId="055EF1D6">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DistriQuery is positioned to close this specific gap rather than to reproduce it: by building a system where distributed ingestion failures can be deliberately injected (Phase 6's worker-failure, duplicate-event, and ingestion-spike experiments) and measured against standard RAG-quality metrics (Section 6) using the same evaluation harness, the project can produce results that neither the systems literature nor the RAG-quality literature currently offers on its own. The primary research question that follows directly from this — how ingestion-pipeline reliability affects downstream retrieval quality and faithfulness — is deliberately scoped to be answerable within an undergraduate project's timeline, using techniques (hybrid retrieval, RAGAS-style evaluation, Kafka-based fault injection) that are each individually well-established in the literature above, combined in a way that, as best this review can determine, has not been jointly evaluated before.</w:t>
      </w:r>
    </w:p>
    <w:p w14:paraId="28017484">
      <w:pPr>
        <w:pStyle w:val="2"/>
        <w:keepNext w:val="0"/>
        <w:keepLines w:val="0"/>
        <w:pageBreakBefore w:val="0"/>
        <w:widowControl/>
        <w:kinsoku/>
        <w:wordWrap/>
        <w:overflowPunct/>
        <w:topLinePunct w:val="0"/>
        <w:autoSpaceDE/>
        <w:autoSpaceDN/>
        <w:bidi w:val="0"/>
        <w:adjustRightInd/>
        <w:snapToGrid/>
        <w:spacing w:before="320" w:after="16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Key References</w:t>
      </w:r>
    </w:p>
    <w:p w14:paraId="06D23BEC">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Asai et al. (2023). Self-RAG: Learning to Retrieve, Generate, and Critique through Self-Reflection. NeurIPS 2023.</w:t>
      </w:r>
    </w:p>
    <w:p w14:paraId="1AAD5025">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Aulbach et al. (2008). Multi-tenancy for Database-as-a-Service. SIGMOD 2008.</w:t>
      </w:r>
    </w:p>
    <w:p w14:paraId="58D1CADB">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Bang et al. (2023). GPTCache: A Data or Cache Subsystem of Large Language Model. arXiv 2023.</w:t>
      </w:r>
    </w:p>
    <w:p w14:paraId="392405D5">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Chen et al. (2023). Benchmarking Large Language Models in Retrieval-Augmented Generation. arXiv 2023.</w:t>
      </w:r>
    </w:p>
    <w:p w14:paraId="00F46948">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Dean &amp; Ghemawat (2004). MapReduce: Simplified Data Processing on Large Clusters. OSDI 2004.</w:t>
      </w:r>
    </w:p>
    <w:p w14:paraId="7FA84876">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Edge et al. (2024). From Local to Global: A Graph RAG Approach to Query-Focused Summarization. arXiv 2024.</w:t>
      </w:r>
    </w:p>
    <w:p w14:paraId="78E4A2A5">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Es et al. (2023). RAGAS: Automated Evaluation of Retrieval Augmented Generation. arXiv 2023.</w:t>
      </w:r>
    </w:p>
    <w:p w14:paraId="0877E151">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Formal et al. (2021). SPLADE: Sparse Lexical and Expansion Model for First Stage Ranking. SIGIR 2021.</w:t>
      </w:r>
    </w:p>
    <w:p w14:paraId="6541FBA9">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Gao et al. (2017). TALL: Temporal Activity Localization via Language Query. ICCV 2017.</w:t>
      </w:r>
    </w:p>
    <w:p w14:paraId="46DB044A">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Girdhar et al. (2023). ImageBind: One Embedding Space to Bind Them All. CVPR 2023.</w:t>
      </w:r>
    </w:p>
    <w:p w14:paraId="4F458803">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Greshake et al. (2023). Not What You've Signed Up For: Compromising Real-World LLM-Integrated Applications with Indirect Prompt Injection. arXiv 2023.</w:t>
      </w:r>
    </w:p>
    <w:p w14:paraId="5C884088">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Guu et al. (2020). REALM: Retrieval-Augmented Language Model Pre-Training. ICML 2020.</w:t>
      </w:r>
    </w:p>
    <w:p w14:paraId="0341169B">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Jeong et al. (2024). Adaptive-RAG: Learning to Adapt Retrieval-Augmented Large Language Models. NAACL 2024.</w:t>
      </w:r>
    </w:p>
    <w:p w14:paraId="56750FEE">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Jiang et al. (2023). Active Retrieval Augmented Generation. EMNLP 2023.</w:t>
      </w:r>
    </w:p>
    <w:p w14:paraId="7B456578">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Johnson, Douze &amp; Jégou (2019). Billion-scale similarity search with GPUs. IEEE TBIG 2019.</w:t>
      </w:r>
    </w:p>
    <w:p w14:paraId="79D6490C">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Karpukhin et al. (2020). Dense Passage Retrieval for Open-Domain Question Answering. EMNLP 2020.</w:t>
      </w:r>
    </w:p>
    <w:p w14:paraId="334BABC5">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Khattab &amp; Zaharia (2020). ColBERT: Efficient and Effective Passage Search via Contextualized Late Interaction. SIGIR 2020.</w:t>
      </w:r>
    </w:p>
    <w:p w14:paraId="1CEE3161">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Kreps, Narkhede &amp; Rao (2011). Kafka: A Distributed Messaging System for Log Processing. NetDB 2011.</w:t>
      </w:r>
    </w:p>
    <w:p w14:paraId="63FCE476">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Lewis et al. (2020). Retrieval-Augmented Generation for Knowledge-Intensive NLP Tasks. NeurIPS 2020.</w:t>
      </w:r>
    </w:p>
    <w:p w14:paraId="6CA8FF84">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Liu et al. (2024). Lost in the Middle: How Language Models Use Long Contexts. TACL 2024.</w:t>
      </w:r>
    </w:p>
    <w:p w14:paraId="758F0036">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Petroni et al. (2021). KILT: a Benchmark for Knowledge Intensive Language Tasks. NAACL 2021.</w:t>
      </w:r>
    </w:p>
    <w:p w14:paraId="0B36CE0A">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Radford et al. (2021). Learning Transferable Visual Models From Natural Language Supervision (CLIP). ICML 2021.</w:t>
      </w:r>
    </w:p>
    <w:p w14:paraId="0425ABDB">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Radford et al. (2022). Robust Speech Recognition via Large-Scale Weak Supervision (Whisper). ICML 2023.</w:t>
      </w:r>
    </w:p>
    <w:p w14:paraId="62CAD023">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Reimers &amp; Gurevych (2019). Sentence-BERT: Sentence Embeddings using Siamese BERT-Networks. EMNLP 2019.</w:t>
      </w:r>
    </w:p>
    <w:p w14:paraId="2E4D01DA">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Robertson &amp; Zaragoza (2009). The Probabilistic Relevance Framework: BM25 and Beyond. Foundations and Trends in IR.</w:t>
      </w:r>
    </w:p>
    <w:p w14:paraId="7AE7E82E">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Saad-Falcon et al. (2024). ARES: An Automated Evaluation Framework for RAG Systems. NAACL 2024.</w:t>
      </w:r>
    </w:p>
    <w:p w14:paraId="2582D8EF">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Schick et al. (2023). Toolformer: Language Models Can Teach Themselves to Use Tools. NeurIPS 2023.</w:t>
      </w:r>
    </w:p>
    <w:p w14:paraId="0973931F">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Sigelman et al. (2010). Dapper, a Large-Scale Distributed Systems Tracing Infrastructure. Google Technical Report 2010.</w:t>
      </w:r>
    </w:p>
    <w:p w14:paraId="350D3899">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Wang et al. (2024). VideoAgent: Long-form Video Understanding with Large Language Model as Agent. arXiv 2024.</w:t>
      </w:r>
    </w:p>
    <w:p w14:paraId="15CE8DD0">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Xiong et al. (2021). Answering Complex Open-Domain Questions with Multi-Hop Dense Retrieval. ICLR 2021.</w:t>
      </w:r>
    </w:p>
    <w:p w14:paraId="304E4436">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Yan et al. (2024). Corrective Retrieval Augmented Generation. arXiv 2024.</w:t>
      </w:r>
    </w:p>
    <w:p w14:paraId="4CA46ACD">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Yao et al. (2023). ReAct: Synergizing Reasoning and Acting in Language Models. ICLR 2023.</w:t>
      </w:r>
    </w:p>
    <w:p w14:paraId="234E704C">
      <w:pPr>
        <w:keepNext w:val="0"/>
        <w:keepLines w:val="0"/>
        <w:pageBreakBefore w:val="0"/>
        <w:widowControl/>
        <w:kinsoku/>
        <w:wordWrap/>
        <w:overflowPunct/>
        <w:topLinePunct w:val="0"/>
        <w:autoSpaceDE/>
        <w:autoSpaceDN/>
        <w:bidi w:val="0"/>
        <w:adjustRightInd/>
        <w:snapToGrid/>
        <w:spacing w:after="160" w:line="360" w:lineRule="auto"/>
        <w:textAlignment w:val="auto"/>
        <w:rPr>
          <w:rFonts w:hint="default" w:ascii="Times New Roman" w:hAnsi="Times New Roman" w:cs="Times New Roman"/>
          <w:sz w:val="24"/>
          <w:szCs w:val="24"/>
        </w:rPr>
      </w:pPr>
      <w:r>
        <w:rPr>
          <w:rFonts w:hint="default" w:ascii="Times New Roman" w:hAnsi="Times New Roman" w:eastAsia="Calibri" w:cs="Times New Roman"/>
          <w:sz w:val="24"/>
          <w:szCs w:val="24"/>
        </w:rPr>
        <w:t>Zou et al. (2024). PoisonedRAG: Knowledge Corruption Attacks to Retrieval-Augmented Generation. arXiv 2024.</w:t>
      </w:r>
    </w:p>
    <w:sectPr>
      <w:pgSz w:w="11906" w:h="16838"/>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isplayBackgroundShape w:val="1"/>
  <w:documentProtection w:enforcement="0"/>
  <w:compat>
    <w:compatSetting w:name="compatibilityMode" w:uri="http://schemas.microsoft.com/office/word" w:val="15"/>
  </w:compat>
  <w:rsids>
    <w:rsidRoot w:val="00000000"/>
    <w:rsid w:val="79AA2E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rPr>
  </w:style>
  <w:style w:type="paragraph" w:styleId="2">
    <w:name w:val="heading 1"/>
    <w:next w:val="1"/>
    <w:uiPriority w:val="0"/>
    <w:pPr>
      <w:spacing w:before="400" w:after="200" w:line="360" w:lineRule="auto"/>
    </w:pPr>
    <w:rPr>
      <w:rFonts w:ascii="Calibri" w:hAnsi="Calibri" w:eastAsia="Calibri" w:cs="Calibri"/>
      <w:b/>
      <w:bCs/>
      <w:sz w:val="32"/>
      <w:szCs w:val="32"/>
    </w:rPr>
  </w:style>
  <w:style w:type="paragraph" w:styleId="3">
    <w:name w:val="heading 2"/>
    <w:next w:val="1"/>
    <w:qFormat/>
    <w:uiPriority w:val="0"/>
    <w:pPr>
      <w:spacing w:after="160" w:line="360" w:lineRule="auto"/>
    </w:pPr>
    <w:rPr>
      <w:rFonts w:ascii="Calibri" w:hAnsi="Calibri" w:eastAsia="Calibri" w:cs="Calibri"/>
      <w:color w:val="2E74B5"/>
      <w:sz w:val="26"/>
      <w:szCs w:val="26"/>
    </w:rPr>
  </w:style>
  <w:style w:type="paragraph" w:styleId="4">
    <w:name w:val="heading 3"/>
    <w:next w:val="1"/>
    <w:qFormat/>
    <w:uiPriority w:val="0"/>
    <w:pPr>
      <w:spacing w:after="160" w:line="360" w:lineRule="auto"/>
    </w:pPr>
    <w:rPr>
      <w:rFonts w:ascii="Calibri" w:hAnsi="Calibri" w:eastAsia="Calibri" w:cs="Calibri"/>
      <w:color w:val="1F4D78"/>
      <w:sz w:val="24"/>
      <w:szCs w:val="24"/>
    </w:rPr>
  </w:style>
  <w:style w:type="paragraph" w:styleId="5">
    <w:name w:val="heading 4"/>
    <w:next w:val="1"/>
    <w:qFormat/>
    <w:uiPriority w:val="0"/>
    <w:pPr>
      <w:spacing w:after="160" w:line="360" w:lineRule="auto"/>
    </w:pPr>
    <w:rPr>
      <w:rFonts w:ascii="Calibri" w:hAnsi="Calibri" w:eastAsia="Calibri" w:cs="Calibri"/>
      <w:i/>
      <w:iCs/>
      <w:color w:val="2E74B5"/>
      <w:sz w:val="24"/>
      <w:szCs w:val="24"/>
    </w:rPr>
  </w:style>
  <w:style w:type="paragraph" w:styleId="6">
    <w:name w:val="heading 5"/>
    <w:next w:val="1"/>
    <w:qFormat/>
    <w:uiPriority w:val="0"/>
    <w:pPr>
      <w:spacing w:after="160" w:line="360" w:lineRule="auto"/>
    </w:pPr>
    <w:rPr>
      <w:rFonts w:ascii="Calibri" w:hAnsi="Calibri" w:eastAsia="Calibri" w:cs="Calibri"/>
      <w:color w:val="2E74B5"/>
      <w:sz w:val="24"/>
      <w:szCs w:val="24"/>
    </w:rPr>
  </w:style>
  <w:style w:type="paragraph" w:styleId="7">
    <w:name w:val="heading 6"/>
    <w:next w:val="1"/>
    <w:qFormat/>
    <w:uiPriority w:val="0"/>
    <w:pPr>
      <w:spacing w:after="160" w:line="360" w:lineRule="auto"/>
    </w:pPr>
    <w:rPr>
      <w:rFonts w:ascii="Calibri" w:hAnsi="Calibri" w:eastAsia="Calibri" w:cs="Calibri"/>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pPr>
      <w:spacing w:after="160" w:line="360" w:lineRule="auto"/>
    </w:pPr>
    <w:rPr>
      <w:rFonts w:ascii="Calibri" w:hAnsi="Calibri" w:eastAsia="Calibri" w:cs="Calibri"/>
      <w:sz w:val="56"/>
      <w:szCs w:val="56"/>
    </w:rPr>
  </w:style>
  <w:style w:type="paragraph" w:styleId="16">
    <w:name w:val="List Paragraph"/>
    <w:qFormat/>
    <w:uiPriority w:val="0"/>
    <w:pPr>
      <w:spacing w:after="160" w:line="360" w:lineRule="auto"/>
    </w:pPr>
    <w:rPr>
      <w:rFonts w:ascii="Calibri" w:hAnsi="Calibri" w:eastAsia="Calibri" w:cs="Calibri"/>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3347</Words>
  <Characters>20795</Characters>
  <TotalTime>5</TotalTime>
  <ScaleCrop>false</ScaleCrop>
  <LinksUpToDate>false</LinksUpToDate>
  <CharactersWithSpaces>24071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2026-08-28T17:00:00Z</dcterms:created>
  <dc:creator>Un-named</dc:creator>
  <cp:lastModifiedBy>Sanika Gajbe</cp:lastModifiedBy>
  <dcterms:modified xsi:type="dcterms:W3CDTF">2026-08-28T17:06:38Z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eyJoZGlkIjoiNmQyMzMxNTdjMzU3ZTMzMWY1MzA0MDI2ZTgxNWQ4ZTQiLCJ1c2VySWQiOiI1NDk3NTg2MjIwNDcifQ==</vt:lpwstr>
  </property>
  <property fmtid="{D5CDD505-2E9C-101B-9397-08002B2CF9AE}" pid="3" name="KSOProductBuildVer">
    <vt:lpwstr>1033-12.1.0.28032</vt:lpwstr>
  </property>
  <property fmtid="{D5CDD505-2E9C-101B-9397-08002B2CF9AE}" pid="4" name="ICV">
    <vt:lpwstr>CA97F8231F714EA6AF3BC7FD6ECC8C35_13</vt:lpwstr>
  </property>
</Properties>
</file>