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fill="16243D"/>
            <w:tcMar>
              <w:top w:w="560" w:type="dxa"/>
              <w:bottom w:w="560" w:type="dxa"/>
              <w:left w:w="420" w:type="dxa"/>
              <w:right w:w="420" w:type="dxa"/>
            </w:tcMar>
          </w:tcPr>
          <w:p>
            <w:pPr>
              <w:spacing w:after="120"/>
            </w:pPr>
            <w:r/>
            <w:r>
              <w:rPr>
                <w:rFonts w:ascii="Arial" w:hAnsi="Arial"/>
                <w:b/>
                <w:i w:val="0"/>
                <w:color w:val="C9A24B"/>
                <w:sz w:val="16"/>
              </w:rPr>
              <w:t>FINANCE · ERP IMPLEMENTATION</w:t>
            </w:r>
          </w:p>
          <w:p>
            <w:pPr>
              <w:spacing w:after="40"/>
            </w:pPr>
            <w:r>
              <w:rPr>
                <w:rFonts w:ascii="Arial" w:hAnsi="Arial"/>
                <w:b/>
                <w:i w:val="0"/>
                <w:color w:val="FFFFFF"/>
                <w:sz w:val="56"/>
              </w:rPr>
              <w:t>Intercompany Settlements</w:t>
            </w:r>
          </w:p>
          <w:p>
            <w:pPr>
              <w:spacing w:after="200"/>
            </w:pPr>
            <w:r>
              <w:rPr>
                <w:rFonts w:ascii="Arial" w:hAnsi="Arial"/>
                <w:b/>
                <w:i w:val="0"/>
                <w:color w:val="C7D3E3"/>
                <w:sz w:val="56"/>
              </w:rPr>
              <w:t>Requirements Pack</w:t>
            </w:r>
          </w:p>
          <w:p>
            <w:pPr>
              <w:spacing w:after="160"/>
              <w:pBdr>
                <w:bottom w:val="single" w:sz="14" w:space="4" w:color="C9A24B"/>
              </w:pBdr>
            </w:pPr>
          </w:p>
          <w:p>
            <w:r>
              <w:rPr>
                <w:rFonts w:ascii="Arial" w:hAnsi="Arial"/>
                <w:b w:val="0"/>
                <w:i w:val="0"/>
                <w:color w:val="9DB0CC"/>
                <w:sz w:val="20"/>
              </w:rPr>
              <w:t xml:space="preserve">Prepared for  </w:t>
            </w:r>
            <w:r>
              <w:rPr>
                <w:rFonts w:ascii="Arial" w:hAnsi="Arial"/>
                <w:b/>
                <w:i w:val="0"/>
                <w:color w:val="FFFFFF"/>
                <w:sz w:val="22"/>
              </w:rPr>
              <w:t>Summit Group Holdings Ltd</w:t>
            </w:r>
          </w:p>
        </w:tc>
      </w:tr>
    </w:tbl>
    <w:p>
      <w:pPr>
        <w:spacing w:after="140"/>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40"/>
        <w:gridCol w:w="2340"/>
        <w:gridCol w:w="2340"/>
        <w:gridCol w:w="2340"/>
      </w:tblGrid>
      <w:tr>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BY</w:t>
            </w:r>
          </w:p>
          <w:p>
            <w:pPr>
              <w:spacing w:after="0"/>
            </w:pPr>
            <w:r>
              <w:rPr>
                <w:rFonts w:ascii="Arial" w:hAnsi="Arial"/>
                <w:b/>
                <w:i w:val="0"/>
                <w:color w:val="16243D"/>
                <w:sz w:val="19"/>
              </w:rPr>
              <w:t>Chez Solutions</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FOR</w:t>
            </w:r>
          </w:p>
          <w:p>
            <w:pPr>
              <w:spacing w:after="0"/>
            </w:pPr>
            <w:r>
              <w:rPr>
                <w:rFonts w:ascii="Arial" w:hAnsi="Arial"/>
                <w:b/>
                <w:i w:val="0"/>
                <w:color w:val="16243D"/>
                <w:sz w:val="19"/>
              </w:rPr>
              <w:t>Summit Group Holdings Ltd</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DATE</w:t>
            </w:r>
          </w:p>
          <w:p>
            <w:pPr>
              <w:spacing w:after="0"/>
            </w:pPr>
            <w:r>
              <w:rPr>
                <w:rFonts w:ascii="Arial" w:hAnsi="Arial"/>
                <w:b/>
                <w:i w:val="0"/>
                <w:color w:val="16243D"/>
                <w:sz w:val="19"/>
              </w:rPr>
              <w:t>June 2026</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STATUS</w:t>
            </w:r>
          </w:p>
          <w:p>
            <w:pPr>
              <w:spacing w:after="0"/>
            </w:pPr>
            <w:r>
              <w:rPr>
                <w:rFonts w:ascii="Arial" w:hAnsi="Arial"/>
                <w:b/>
                <w:i w:val="0"/>
                <w:color w:val="16243D"/>
                <w:sz w:val="19"/>
              </w:rPr>
              <w:t>Draft for Review</w:t>
            </w:r>
          </w:p>
        </w:tc>
      </w:tr>
    </w:tbl>
    <w:p>
      <w:pPr>
        <w:spacing w:after="160"/>
      </w:pPr>
    </w:p>
    <w:tbl>
      <w:tblPr>
        <w:tblW w:type="dxa" w:w="9360"/>
        <w:tblLayout w:type="fixed"/>
        <w:tblLook w:firstColumn="1" w:firstRow="1" w:lastColumn="0" w:lastRow="0" w:noHBand="0" w:noVBand="1" w:val="04A0"/>
        <w:tblBorders>
          <w:top w:val="single" w:sz="8" w:space="0" w:color="2E5C8A"/>
          <w:left w:val="single" w:sz="8" w:space="0" w:color="2E5C8A"/>
          <w:bottom w:val="single" w:sz="8" w:space="0" w:color="2E5C8A"/>
          <w:right w:val="single" w:sz="8" w:space="0" w:color="2E5C8A"/>
          <w:insideH w:val="single" w:sz="4" w:space="0" w:color="D9DEE6"/>
          <w:insideV w:val="single" w:sz="4" w:space="0" w:color="D9DEE6"/>
        </w:tblBorders>
      </w:tblPr>
      <w:tblGrid>
        <w:gridCol w:w="1872"/>
        <w:gridCol w:w="1872"/>
        <w:gridCol w:w="1872"/>
        <w:gridCol w:w="1872"/>
        <w:gridCol w:w="1872"/>
      </w:tblGrid>
      <w:tr>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14</w:t>
            </w:r>
          </w:p>
          <w:p>
            <w:pPr>
              <w:spacing w:after="0"/>
              <w:jc w:val="center"/>
            </w:pPr>
            <w:r>
              <w:rPr>
                <w:rFonts w:ascii="Arial" w:hAnsi="Arial"/>
                <w:b w:val="0"/>
                <w:i w:val="0"/>
                <w:color w:val="6B7280"/>
                <w:sz w:val="14"/>
              </w:rPr>
              <w:t>ENTITIES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10 wks</w:t>
            </w:r>
          </w:p>
          <w:p>
            <w:pPr>
              <w:spacing w:after="0"/>
              <w:jc w:val="center"/>
            </w:pPr>
            <w:r>
              <w:rPr>
                <w:rFonts w:ascii="Arial" w:hAnsi="Arial"/>
                <w:b w:val="0"/>
                <w:i w:val="0"/>
                <w:color w:val="6B7280"/>
                <w:sz w:val="14"/>
              </w:rPr>
              <w:t>DELIVERY WINDOW</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FUNCTIONAL REQS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5</w:t>
            </w:r>
          </w:p>
          <w:p>
            <w:pPr>
              <w:spacing w:after="0"/>
              <w:jc w:val="center"/>
            </w:pPr>
            <w:r>
              <w:rPr>
                <w:rFonts w:ascii="Arial" w:hAnsi="Arial"/>
                <w:b w:val="0"/>
                <w:i w:val="0"/>
                <w:color w:val="6B7280"/>
                <w:sz w:val="14"/>
              </w:rPr>
              <w:t>KEY CONTROLS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w:t>
            </w:r>
          </w:p>
          <w:p>
            <w:pPr>
              <w:spacing w:after="0"/>
              <w:jc w:val="center"/>
            </w:pPr>
            <w:r>
              <w:rPr>
                <w:rFonts w:ascii="Arial" w:hAnsi="Arial"/>
                <w:b w:val="0"/>
                <w:i w:val="0"/>
                <w:color w:val="6B7280"/>
                <w:sz w:val="14"/>
              </w:rPr>
              <w:t>UAT CASES</w:t>
            </w:r>
          </w:p>
        </w:tc>
      </w:tr>
    </w:tbl>
    <w:p>
      <w:pPr>
        <w:spacing w:before="260" w:after="60"/>
      </w:pPr>
      <w:r>
        <w:rPr>
          <w:rFonts w:ascii="Arial" w:hAnsi="Arial"/>
          <w:b/>
          <w:i w:val="0"/>
          <w:color w:val="2E5C8A"/>
          <w:sz w:val="16"/>
        </w:rPr>
        <w:t>PURPOSE</w:t>
      </w:r>
    </w:p>
    <w:p>
      <w:pPr>
        <w:spacing w:after="0" w:line="276" w:lineRule="auto"/>
      </w:pPr>
      <w:r>
        <w:rPr>
          <w:rFonts w:ascii="Arial" w:hAnsi="Arial"/>
          <w:b w:val="0"/>
          <w:i/>
          <w:color w:val="3A4253"/>
          <w:sz w:val="22"/>
        </w:rPr>
        <w:t>Translate finance process pain points into implementation-ready ERP requirements — covering workflow, data, controls, reporting, audit trail, and UAT coverage.</w:t>
      </w:r>
    </w:p>
    <w:p>
      <w:pPr>
        <w:pageBreakBefore/>
        <w:spacing w:after="60"/>
      </w:pPr>
      <w:r>
        <w:rPr>
          <w:rFonts w:ascii="Arial" w:hAnsi="Arial"/>
          <w:b/>
          <w:i w:val="0"/>
          <w:color w:val="16243D"/>
          <w:sz w:val="36"/>
        </w:rPr>
        <w:t>Contents</w:t>
      </w:r>
    </w:p>
    <w:p>
      <w:pPr>
        <w:spacing w:after="260"/>
        <w:pBdr>
          <w:bottom w:val="single" w:sz="12" w:space="4" w:color="C9A24B"/>
        </w:pBdr>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
        <w:gridCol w:w="7880"/>
        <w:gridCol w:w="760"/>
      </w:tblGrid>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Executive Summary</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Business Problem</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Process Scope</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Scope Boundaries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Stakeholders and Roles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Functional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Data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08</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09</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Reporting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10</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Audit Trail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User Stories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UAT Test Cases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Acceptance Criteria</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Risks and Dependencies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Notes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Visual Process Documentation</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8</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Control-Risk Matrix</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8</w:t>
            </w:r>
          </w:p>
        </w:tc>
      </w:tr>
    </w:tbl>
    <w:p>
      <w:pPr>
        <w:pStyle w:val="Heading1"/>
        <w:keepNext/>
        <w:pageBreakBefore/>
        <w:spacing w:before="360" w:after="160"/>
        <w:pBdr>
          <w:bottom w:val="single" w:sz="10" w:space="4" w:color="2E5C8A"/>
        </w:pBdr>
      </w:pPr>
      <w:r>
        <w:rPr>
          <w:rFonts w:ascii="Arial" w:hAnsi="Arial"/>
          <w:b/>
          <w:i w:val="0"/>
          <w:color w:val="C9A24B"/>
          <w:sz w:val="28"/>
        </w:rPr>
        <w:t xml:space="preserve">01  </w:t>
      </w:r>
      <w:r>
        <w:rPr>
          <w:rFonts w:ascii="Arial" w:hAnsi="Arial"/>
          <w:b/>
          <w:i w:val="0"/>
          <w:color w:val="16243D"/>
          <w:sz w:val="28"/>
        </w:rPr>
        <w:t>Executive Summary</w:t>
      </w:r>
    </w:p>
    <w:p>
      <w:r>
        <w:t>Summit Group Holdings Ltd needs a structured Intercompany Settlements requirements pack to reduce rework, clarify control ownership, and make Oracle NetSuite OneWorld implementation decisions testable. The pack translates intercompany mismatch ageing, recharge rule ambiguity, and fX difference review gaps into requirements for workflow, data, controls, reporting, audit trail, and UAT. It is sized for 14 entities, 320 intercompany lines, and 5 settlement currencies per month and frames the control design, reporting outputs, and acceptance criteria needed within a target delivery window of 10 weeks.</w:t>
      </w:r>
    </w:p>
    <w:p>
      <w:pPr>
        <w:pStyle w:val="Heading1"/>
        <w:keepNext/>
        <w:spacing w:before="360" w:after="160"/>
        <w:pBdr>
          <w:bottom w:val="single" w:sz="10" w:space="4" w:color="2E5C8A"/>
        </w:pBdr>
      </w:pPr>
      <w:r>
        <w:rPr>
          <w:rFonts w:ascii="Arial" w:hAnsi="Arial"/>
          <w:b/>
          <w:i w:val="0"/>
          <w:color w:val="C9A24B"/>
          <w:sz w:val="28"/>
        </w:rPr>
        <w:t xml:space="preserve">02  </w:t>
      </w:r>
      <w:r>
        <w:rPr>
          <w:rFonts w:ascii="Arial" w:hAnsi="Arial"/>
          <w:b/>
          <w:i w:val="0"/>
          <w:color w:val="16243D"/>
          <w:sz w:val="28"/>
        </w:rPr>
        <w:t>Business Problem</w:t>
      </w:r>
    </w:p>
    <w:p>
      <w:r>
        <w:t>The current Intercompany Settlements process relies on Entity ERP ledgers, recharge spreadsheets, and group consolidation workbook. That creates avoidable risk around intercompany mismatch ageing, recharge rule ambiguity, and fX difference review gaps and leaves finance without a consistent requirements baseline for process design, configuration, controls, reporting, and UAT. The implementation needs clearer ownership, defined data fields, control evidence, and acceptance criteria before ERP optimisation or automation can be delivered with confidence.</w:t>
      </w:r>
    </w:p>
    <w:p>
      <w:pPr>
        <w:pStyle w:val="Heading1"/>
        <w:keepNext/>
        <w:spacing w:before="360" w:after="160"/>
        <w:pBdr>
          <w:bottom w:val="single" w:sz="10" w:space="4" w:color="2E5C8A"/>
        </w:pBdr>
      </w:pPr>
      <w:r>
        <w:rPr>
          <w:rFonts w:ascii="Arial" w:hAnsi="Arial"/>
          <w:b/>
          <w:i w:val="0"/>
          <w:color w:val="C9A24B"/>
          <w:sz w:val="28"/>
        </w:rPr>
        <w:t xml:space="preserve">03  </w:t>
      </w:r>
      <w:r>
        <w:rPr>
          <w:rFonts w:ascii="Arial" w:hAnsi="Arial"/>
          <w:b/>
          <w:i w:val="0"/>
          <w:color w:val="16243D"/>
          <w:sz w:val="28"/>
        </w:rPr>
        <w:t>Process Scope</w:t>
      </w:r>
    </w:p>
    <w:p>
      <w:r>
        <w:t>The future-state scope covers Intercompany recharge creation, counterparty confirmation, matching, settlement tracking, FX difference review, and elimination support; Visibility of balances by entity, counterparty, transaction type, currency, owner, and ageing; and Controls over recharge approval, settlement readiness, and period-end elimination evidence. The design will support multi-entity group with shared service recharges users on Oracle NetSuite OneWorld, with emphasis on counterparty confirmation, recharge approval, settlement evidence, and elimination support.</w:t>
      </w:r>
    </w:p>
    <w:p>
      <w:pPr>
        <w:pStyle w:val="Heading1"/>
        <w:keepNext/>
        <w:spacing w:before="360" w:after="160"/>
        <w:pBdr>
          <w:bottom w:val="single" w:sz="10" w:space="4" w:color="2E5C8A"/>
        </w:pBdr>
      </w:pPr>
      <w:r>
        <w:rPr>
          <w:rFonts w:ascii="Arial" w:hAnsi="Arial"/>
          <w:b/>
          <w:i w:val="0"/>
          <w:color w:val="C9A24B"/>
          <w:sz w:val="28"/>
        </w:rPr>
        <w:t xml:space="preserve">04  </w:t>
      </w:r>
      <w:r>
        <w:rPr>
          <w:rFonts w:ascii="Arial" w:hAnsi="Arial"/>
          <w:b/>
          <w:i w:val="0"/>
          <w:color w:val="16243D"/>
          <w:sz w:val="28"/>
        </w:rPr>
        <w:t>Scope Boundaries</w:t>
      </w:r>
    </w:p>
    <w:p>
      <w:r>
        <w:t>The boundaries below set expectations for this phase. Items out of scope can be re-planned as separate, approved phases.</w:t>
      </w: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shd w:fill="E7F1EC"/>
            <w:tcMar>
              <w:top w:w="120" w:type="dxa"/>
              <w:bottom w:w="130" w:type="dxa"/>
              <w:left w:w="160" w:type="dxa"/>
              <w:right w:w="160" w:type="dxa"/>
            </w:tcMar>
            <w:tcBorders>
              <w:top w:val="single" w:sz="8" w:space="0" w:color="1F7A4D"/>
              <w:bottom w:val="single" w:sz="4" w:space="0" w:color="D9DEE6"/>
              <w:left w:val="single" w:sz="4" w:space="0" w:color="D9DEE6"/>
              <w:right w:val="single" w:sz="4" w:space="0" w:color="D9DEE6"/>
            </w:tcBorders>
            <w:vAlign w:val="top"/>
          </w:tcPr>
          <w:p>
            <w:pPr>
              <w:shd w:fill="1F7A4D"/>
              <w:spacing w:after="100"/>
            </w:pPr>
            <w:r/>
            <w:r>
              <w:rPr>
                <w:rFonts w:ascii="Arial" w:hAnsi="Arial"/>
                <w:b/>
                <w:i w:val="0"/>
                <w:color w:val="FFFFFF"/>
                <w:sz w:val="18"/>
              </w:rPr>
              <w:t>IN SCOPE</w:t>
            </w:r>
          </w:p>
          <w:p>
            <w:pPr>
              <w:spacing w:after="70"/>
            </w:pPr>
            <w:r>
              <w:rPr>
                <w:rFonts w:ascii="Arial" w:hAnsi="Arial"/>
                <w:b w:val="0"/>
                <w:i w:val="0"/>
                <w:color w:val="1F2430"/>
                <w:sz w:val="19"/>
              </w:rPr>
              <w:t>• Intercompany Settlements requirements for the agreed multi-entity group with shared service recharges process.</w:t>
            </w:r>
          </w:p>
          <w:p>
            <w:pPr>
              <w:spacing w:after="70"/>
            </w:pPr>
            <w:r>
              <w:rPr>
                <w:rFonts w:ascii="Arial" w:hAnsi="Arial"/>
                <w:b w:val="0"/>
                <w:i w:val="0"/>
                <w:color w:val="1F2430"/>
                <w:sz w:val="19"/>
              </w:rPr>
              <w:t>• Workflow, data, controls, reporting, audit trail, and UAT requirements for Oracle NetSuite OneWorld.</w:t>
            </w:r>
          </w:p>
          <w:p>
            <w:pPr>
              <w:spacing w:after="70"/>
            </w:pPr>
            <w:r>
              <w:rPr>
                <w:rFonts w:ascii="Arial" w:hAnsi="Arial"/>
                <w:b w:val="0"/>
                <w:i w:val="0"/>
                <w:color w:val="1F2430"/>
                <w:sz w:val="19"/>
              </w:rPr>
              <w:t>• Process pain points covering intercompany mismatch ageing, recharge rule ambiguity, and fX difference review gaps.</w:t>
            </w:r>
          </w:p>
          <w:p>
            <w:pPr>
              <w:spacing w:after="70"/>
            </w:pPr>
            <w:r>
              <w:rPr>
                <w:rFonts w:ascii="Arial" w:hAnsi="Arial"/>
                <w:b w:val="0"/>
                <w:i w:val="0"/>
                <w:color w:val="1F2430"/>
                <w:sz w:val="19"/>
              </w:rPr>
              <w:t>• Reporting requirement: Entity-pair ageing, unmatched balances, recharge approvals, and FX difference summary.</w:t>
            </w:r>
          </w:p>
          <w:p>
            <w:pPr>
              <w:spacing w:after="70"/>
            </w:pPr>
            <w:r>
              <w:rPr>
                <w:rFonts w:ascii="Arial" w:hAnsi="Arial"/>
                <w:b w:val="0"/>
                <w:i w:val="0"/>
                <w:color w:val="1F2430"/>
                <w:sz w:val="19"/>
              </w:rPr>
              <w:t>• Implementation window and readiness assumptions for the 10 weeks target window.</w:t>
            </w:r>
          </w:p>
        </w:tc>
        <w:tc>
          <w:tcPr>
            <w:tcW w:type="dxa" w:w="4680"/>
            <w:shd w:fill="F6EBE8"/>
            <w:tcMar>
              <w:top w:w="120" w:type="dxa"/>
              <w:bottom w:w="130" w:type="dxa"/>
              <w:left w:w="160" w:type="dxa"/>
              <w:right w:w="160" w:type="dxa"/>
            </w:tcMar>
            <w:tcBorders>
              <w:top w:val="single" w:sz="8" w:space="0" w:color="9A3B2E"/>
              <w:bottom w:val="single" w:sz="4" w:space="0" w:color="D9DEE6"/>
              <w:left w:val="single" w:sz="4" w:space="0" w:color="D9DEE6"/>
              <w:right w:val="single" w:sz="4" w:space="0" w:color="D9DEE6"/>
            </w:tcBorders>
            <w:vAlign w:val="top"/>
          </w:tcPr>
          <w:p>
            <w:pPr>
              <w:shd w:fill="9A3B2E"/>
              <w:spacing w:after="100"/>
            </w:pPr>
            <w:r/>
            <w:r>
              <w:rPr>
                <w:rFonts w:ascii="Arial" w:hAnsi="Arial"/>
                <w:b/>
                <w:i w:val="0"/>
                <w:color w:val="FFFFFF"/>
                <w:sz w:val="18"/>
              </w:rPr>
              <w:t>OUT OF SCOPE</w:t>
            </w:r>
          </w:p>
          <w:p>
            <w:pPr>
              <w:spacing w:after="70"/>
            </w:pPr>
            <w:r>
              <w:rPr>
                <w:rFonts w:ascii="Arial" w:hAnsi="Arial"/>
                <w:b w:val="0"/>
                <w:i w:val="0"/>
                <w:color w:val="1F2430"/>
                <w:sz w:val="19"/>
              </w:rPr>
              <w:t>• Live system configuration, data migration execution, and production cutover.</w:t>
            </w:r>
          </w:p>
          <w:p>
            <w:pPr>
              <w:spacing w:after="70"/>
            </w:pPr>
            <w:r>
              <w:rPr>
                <w:rFonts w:ascii="Arial" w:hAnsi="Arial"/>
                <w:b w:val="0"/>
                <w:i w:val="0"/>
                <w:color w:val="1F2430"/>
                <w:sz w:val="19"/>
              </w:rPr>
              <w:t>• Custom integration build or external workflow automation.</w:t>
            </w:r>
          </w:p>
          <w:p>
            <w:pPr>
              <w:spacing w:after="70"/>
            </w:pPr>
            <w:r>
              <w:rPr>
                <w:rFonts w:ascii="Arial" w:hAnsi="Arial"/>
                <w:b w:val="0"/>
                <w:i w:val="0"/>
                <w:color w:val="1F2430"/>
                <w:sz w:val="19"/>
              </w:rPr>
              <w:t>• Legal, tax, HR, or statutory sign-off outside the finance process owner remit.</w:t>
            </w:r>
          </w:p>
          <w:p>
            <w:pPr>
              <w:spacing w:after="70"/>
            </w:pPr>
            <w:r>
              <w:rPr>
                <w:rFonts w:ascii="Arial" w:hAnsi="Arial"/>
                <w:b w:val="0"/>
                <w:i w:val="0"/>
                <w:color w:val="1F2430"/>
                <w:sz w:val="19"/>
              </w:rPr>
              <w:t>• Direct processing of operational production data.</w:t>
            </w:r>
          </w:p>
          <w:p>
            <w:pPr>
              <w:spacing w:after="70"/>
            </w:pPr>
            <w:r>
              <w:rPr>
                <w:rFonts w:ascii="Arial" w:hAnsi="Arial"/>
                <w:b w:val="0"/>
                <w:i w:val="0"/>
                <w:color w:val="1F2430"/>
                <w:sz w:val="19"/>
              </w:rPr>
              <w:t>• Process areas outside Intercompany Settlements unless approved as a separate phase.</w:t>
            </w:r>
          </w:p>
        </w:tc>
      </w:tr>
    </w:tbl>
    <w:p>
      <w:pPr>
        <w:pStyle w:val="Heading1"/>
        <w:keepNext/>
        <w:spacing w:before="360" w:after="160"/>
        <w:pBdr>
          <w:bottom w:val="single" w:sz="10" w:space="4" w:color="2E5C8A"/>
        </w:pBdr>
      </w:pPr>
      <w:r>
        <w:rPr>
          <w:rFonts w:ascii="Arial" w:hAnsi="Arial"/>
          <w:b/>
          <w:i w:val="0"/>
          <w:color w:val="C9A24B"/>
          <w:sz w:val="28"/>
        </w:rPr>
        <w:t xml:space="preserve">05  </w:t>
      </w:r>
      <w:r>
        <w:rPr>
          <w:rFonts w:ascii="Arial" w:hAnsi="Arial"/>
          <w:b/>
          <w:i w:val="0"/>
          <w:color w:val="16243D"/>
          <w:sz w:val="28"/>
        </w:rPr>
        <w:t>Stakeholders and Roles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000"/>
        <w:gridCol w:w="6360"/>
      </w:tblGrid>
      <w:tr>
        <w:tc>
          <w:tcPr>
            <w:tcW w:type="dxa" w:w="30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360"/>
            <w:shd w:fill="16243D"/>
            <w:tcMar>
              <w:top w:w="70" w:type="dxa"/>
              <w:bottom w:w="70" w:type="dxa"/>
              <w:left w:w="130" w:type="dxa"/>
              <w:right w:w="130" w:type="dxa"/>
            </w:tcMar>
          </w:tcPr>
          <w:p>
            <w:pPr>
              <w:spacing w:after="0"/>
            </w:pPr>
            <w:r/>
            <w:r>
              <w:rPr>
                <w:rFonts w:ascii="Arial" w:hAnsi="Arial"/>
                <w:b/>
                <w:i w:val="0"/>
                <w:color w:val="FFFFFF"/>
                <w:sz w:val="16"/>
              </w:rPr>
              <w:t>RESPONSIBILITY</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Transformation Lead</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Accountable for business sign-off and prioritisation.</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Intercompany Settlements process owner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Validates workflow scope, controls, and exceptions.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systems analyst</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Translates requirements into configuration and UAT coverage.</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Preparer or operational user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Confirms day-to-day inputs, handoffs, and evidence needs.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or controller</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Approves control design, reporting outputs, and acceptance criteria.</w:t>
            </w:r>
          </w:p>
        </w:tc>
      </w:tr>
    </w:tbl>
    <w:p>
      <w:pPr>
        <w:pStyle w:val="Heading1"/>
        <w:keepNext/>
        <w:spacing w:before="360" w:after="160"/>
        <w:pBdr>
          <w:bottom w:val="single" w:sz="10" w:space="4" w:color="2E5C8A"/>
        </w:pBdr>
      </w:pPr>
      <w:r>
        <w:rPr>
          <w:rFonts w:ascii="Arial" w:hAnsi="Arial"/>
          <w:b/>
          <w:i w:val="0"/>
          <w:color w:val="C9A24B"/>
          <w:sz w:val="28"/>
        </w:rPr>
        <w:t xml:space="preserve">06  </w:t>
      </w:r>
      <w:r>
        <w:rPr>
          <w:rFonts w:ascii="Arial" w:hAnsi="Arial"/>
          <w:b/>
          <w:i w:val="0"/>
          <w:color w:val="16243D"/>
          <w:sz w:val="28"/>
        </w:rPr>
        <w:t>Functional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Capture originating entity, counterparty entity, recharge type, currency, amount, tax treatment, and settlement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Match intercompany AR/AP balances by counterparty, invoice reference, amount, currency, and period.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unmatched intercompany balances with owner, ageing, reason code, and expected settlement date.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recharge rules, allocation basis, supporting calculation, requester, reviewer, and approval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Identify FX differences by entity pair, currency, transaction reference, and materiality threshold.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FR-06</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Require counterparty confirmation before settlement readiness or elimination support sign-off.</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FR-07</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Produce intercompany ageing and mismatch reports by entity pair and transaction type.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FR-08</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Export elimination support evidence for group reporting review.</w:t>
            </w:r>
          </w:p>
        </w:tc>
      </w:tr>
    </w:tbl>
    <w:p>
      <w:pPr>
        <w:pStyle w:val="Heading1"/>
        <w:keepNext/>
        <w:spacing w:before="360" w:after="160"/>
        <w:pBdr>
          <w:bottom w:val="single" w:sz="10" w:space="4" w:color="2E5C8A"/>
        </w:pBdr>
      </w:pPr>
      <w:r>
        <w:rPr>
          <w:rFonts w:ascii="Arial" w:hAnsi="Arial"/>
          <w:b/>
          <w:i w:val="0"/>
          <w:color w:val="C9A24B"/>
          <w:sz w:val="28"/>
        </w:rPr>
        <w:t xml:space="preserve">07  </w:t>
      </w:r>
      <w:r>
        <w:rPr>
          <w:rFonts w:ascii="Arial" w:hAnsi="Arial"/>
          <w:b/>
          <w:i w:val="0"/>
          <w:color w:val="16243D"/>
          <w:sz w:val="28"/>
        </w:rPr>
        <w:t>Data Requirements</w:t>
      </w:r>
    </w:p>
    <w:p>
      <w:r>
        <w:t>Minimum data fields required for the controls and reporting outputs to operate reliably.</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120"/>
        <w:gridCol w:w="3560"/>
        <w:gridCol w:w="1120"/>
        <w:gridCol w:w="3560"/>
      </w:tblGrid>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DR-01</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Originating entity</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DR-02</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Counterparty entity</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DR-03</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Recharge reference</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DR-04</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Counterparty invoice reference</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DR-05</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Transaction currency</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DR-06</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Settlement status</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DR-07</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FX difference</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DR-08</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Elimination support reference</w:t>
            </w:r>
          </w:p>
        </w:tc>
      </w:tr>
    </w:tbl>
    <w:p>
      <w:pPr>
        <w:pStyle w:val="Heading1"/>
        <w:keepNext/>
        <w:spacing w:before="360" w:after="160"/>
        <w:pBdr>
          <w:bottom w:val="single" w:sz="10" w:space="4" w:color="2E5C8A"/>
        </w:pBdr>
      </w:pPr>
      <w:r>
        <w:rPr>
          <w:rFonts w:ascii="Arial" w:hAnsi="Arial"/>
          <w:b/>
          <w:i w:val="0"/>
          <w:color w:val="C9A24B"/>
          <w:sz w:val="28"/>
        </w:rPr>
        <w:t xml:space="preserve">08  </w:t>
      </w:r>
      <w:r>
        <w:rPr>
          <w:rFonts w:ascii="Arial" w:hAnsi="Arial"/>
          <w:b/>
          <w:i w:val="0"/>
          <w:color w:val="16243D"/>
          <w:sz w:val="28"/>
        </w:rPr>
        <w:t>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CONTROL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Recharge rules and allocation basis require finance owner approval.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Counterparty confirmation is required before settlement readiness.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Aged unmatched intercompany balances escalate to group finance.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FX differences over materiality threshold require review and explanation.</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Elimination support cannot be marked complete until mismatches are resolved or approved.</w:t>
            </w:r>
          </w:p>
        </w:tc>
      </w:tr>
    </w:tbl>
    <w:p>
      <w:pPr>
        <w:pStyle w:val="Heading1"/>
        <w:keepNext/>
        <w:spacing w:before="360" w:after="160"/>
        <w:pBdr>
          <w:bottom w:val="single" w:sz="10" w:space="4" w:color="2E5C8A"/>
        </w:pBdr>
      </w:pPr>
      <w:r>
        <w:rPr>
          <w:rFonts w:ascii="Arial" w:hAnsi="Arial"/>
          <w:b/>
          <w:i w:val="0"/>
          <w:color w:val="C9A24B"/>
          <w:sz w:val="28"/>
        </w:rPr>
        <w:t xml:space="preserve">09  </w:t>
      </w:r>
      <w:r>
        <w:rPr>
          <w:rFonts w:ascii="Arial" w:hAnsi="Arial"/>
          <w:b/>
          <w:i w:val="0"/>
          <w:color w:val="16243D"/>
          <w:sz w:val="28"/>
        </w:rPr>
        <w:t>Reporting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Entity-pair ageing, unmatched balances, recharge approvals, and FX difference summary.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Show owner, status, ageing, exception reason, and next action where relevant to Intercompany Settlements.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 finance manager review with exportable period-end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open exceptions from completed, approved, or signed-off items.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Make reporting outputs readable by finance users without system administrator access.</w:t>
            </w:r>
          </w:p>
        </w:tc>
      </w:tr>
    </w:tbl>
    <w:p>
      <w:pPr>
        <w:pStyle w:val="Heading1"/>
        <w:keepNext/>
        <w:spacing w:before="360" w:after="160"/>
        <w:pBdr>
          <w:bottom w:val="single" w:sz="10" w:space="4" w:color="2E5C8A"/>
        </w:pBdr>
      </w:pPr>
      <w:r>
        <w:rPr>
          <w:rFonts w:ascii="Arial" w:hAnsi="Arial"/>
          <w:b/>
          <w:i w:val="0"/>
          <w:color w:val="C9A24B"/>
          <w:sz w:val="28"/>
        </w:rPr>
        <w:t xml:space="preserve">10  </w:t>
      </w:r>
      <w:r>
        <w:rPr>
          <w:rFonts w:ascii="Arial" w:hAnsi="Arial"/>
          <w:b/>
          <w:i w:val="0"/>
          <w:color w:val="16243D"/>
          <w:sz w:val="28"/>
        </w:rPr>
        <w:t>Audit Trail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recharge creation, approval, counterparty confirmation, settlement, and elimination sign-off timestamps.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allocation basis changes with requester, reviewer, reason, and effective period.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unmatched balance owner/status history by entity pair.</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FX difference explanations and reviewer decisions.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Keep counterparty confirmation evidence and settlement approval references.</w:t>
            </w:r>
          </w:p>
        </w:tc>
      </w:tr>
    </w:tbl>
    <w:p>
      <w:pPr>
        <w:pStyle w:val="Heading1"/>
        <w:keepNext/>
        <w:spacing w:before="360" w:after="160"/>
        <w:pBdr>
          <w:bottom w:val="single" w:sz="10" w:space="4" w:color="2E5C8A"/>
        </w:pBdr>
      </w:pPr>
      <w:r>
        <w:rPr>
          <w:rFonts w:ascii="Arial" w:hAnsi="Arial"/>
          <w:b/>
          <w:i w:val="0"/>
          <w:color w:val="C9A24B"/>
          <w:sz w:val="28"/>
        </w:rPr>
        <w:t xml:space="preserve">11  </w:t>
      </w:r>
      <w:r>
        <w:rPr>
          <w:rFonts w:ascii="Arial" w:hAnsi="Arial"/>
          <w:b/>
          <w:i w:val="0"/>
          <w:color w:val="16243D"/>
          <w:sz w:val="28"/>
        </w:rPr>
        <w:t>User Stories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00"/>
        <w:gridCol w:w="6860"/>
      </w:tblGrid>
      <w:tr>
        <w:tc>
          <w:tcPr>
            <w:tcW w:type="dxa" w:w="25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860"/>
            <w:shd w:fill="16243D"/>
            <w:tcMar>
              <w:top w:w="70" w:type="dxa"/>
              <w:bottom w:w="70" w:type="dxa"/>
              <w:left w:w="130" w:type="dxa"/>
              <w:right w:w="130" w:type="dxa"/>
            </w:tcMar>
          </w:tcPr>
          <w:p>
            <w:pPr>
              <w:spacing w:after="0"/>
            </w:pPr>
            <w:r/>
            <w:r>
              <w:rPr>
                <w:rFonts w:ascii="Arial" w:hAnsi="Arial"/>
                <w:b/>
                <w:i w:val="0"/>
                <w:color w:val="FFFFFF"/>
                <w:sz w:val="16"/>
              </w:rPr>
              <w:t>USER STORY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Entity Accountant</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Counterparty confirmation so intercompany mismatches are resolved before close.</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User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As group finance, I want ageing by entity pair so that old balances are escalated quickly.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Recharge Preparer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Approved allocation rules so recharge calculations are consistent.</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Reviewer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FX differences explained so group reporting variances are defensible.</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Auditor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Elimination support evidence so consolidation adjustments are traceable.</w:t>
            </w:r>
          </w:p>
        </w:tc>
      </w:tr>
    </w:tbl>
    <w:p>
      <w:pPr>
        <w:pStyle w:val="Heading1"/>
        <w:keepNext/>
        <w:spacing w:before="360" w:after="160"/>
        <w:pBdr>
          <w:bottom w:val="single" w:sz="10" w:space="4" w:color="2E5C8A"/>
        </w:pBdr>
      </w:pPr>
      <w:r>
        <w:rPr>
          <w:rFonts w:ascii="Arial" w:hAnsi="Arial"/>
          <w:b/>
          <w:i w:val="0"/>
          <w:color w:val="C9A24B"/>
          <w:sz w:val="28"/>
        </w:rPr>
        <w:t xml:space="preserve">12  </w:t>
      </w:r>
      <w:r>
        <w:rPr>
          <w:rFonts w:ascii="Arial" w:hAnsi="Arial"/>
          <w:b/>
          <w:i w:val="0"/>
          <w:color w:val="16243D"/>
          <w:sz w:val="28"/>
        </w:rPr>
        <w:t>UAT Test Cases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4055"/>
        <w:gridCol w:w="4055"/>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TEST SCENARIO</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EXPECTED RESULT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UAT-01</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Intercompany AR balance does not match the counterparty AP balance.</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 mismatch is created with entity pair, owner, ageing, and reason fields.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UAT-02</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Recharge allocation basis is changed.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change requires approval and stores reason, requester, reviewer, and effective period.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UAT-03</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Counterparty confirmation is missing.</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Settlement readiness and elimination sign-off are blocked.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UAT-04</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FX difference exceeds materiality threshold.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 explanation and approval are required before completion.</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UAT-05</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Aged unmatched balance passes escalation threshold.</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Group finance receives escalation and the item appears in the aged mismatch report.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UAT-06</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Intercompany settlement pack is exported.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pack includes balances, mismatches, confirmations, FX differences, settlement status, and elimination evidence.</w:t>
            </w:r>
          </w:p>
        </w:tc>
      </w:tr>
    </w:tbl>
    <w:p>
      <w:pPr>
        <w:pStyle w:val="Heading1"/>
        <w:keepNext/>
        <w:spacing w:before="360" w:after="160"/>
        <w:pBdr>
          <w:bottom w:val="single" w:sz="10" w:space="4" w:color="2E5C8A"/>
        </w:pBdr>
      </w:pPr>
      <w:r>
        <w:rPr>
          <w:rFonts w:ascii="Arial" w:hAnsi="Arial"/>
          <w:b/>
          <w:i w:val="0"/>
          <w:color w:val="C9A24B"/>
          <w:sz w:val="28"/>
        </w:rPr>
        <w:t xml:space="preserve">13  </w:t>
      </w:r>
      <w:r>
        <w:rPr>
          <w:rFonts w:ascii="Arial" w:hAnsi="Arial"/>
          <w:b/>
          <w:i w:val="0"/>
          <w:color w:val="16243D"/>
          <w:sz w:val="28"/>
        </w:rPr>
        <w:t>Acceptance Criteria</w:t>
      </w:r>
    </w:p>
    <w:p>
      <w:r>
        <w:t>The implementation is accepted when the following are demonstrable in test evidence:</w:t>
      </w:r>
    </w:p>
    <w:p>
      <w:pPr>
        <w:pStyle w:val="ListParagraph"/>
        <w:ind w:left="403" w:hanging="259"/>
      </w:pPr>
      <w:r>
        <w:rPr>
          <w:rFonts w:ascii="Arial" w:hAnsi="Arial"/>
          <w:b/>
          <w:i w:val="0"/>
          <w:color w:val="1F2430"/>
          <w:sz w:val="19"/>
        </w:rPr>
        <w:t>1. Intercompany balances show entity pair, currency, reference, owner, status, and ageing.</w:t>
      </w:r>
    </w:p>
    <w:p>
      <w:pPr>
        <w:pStyle w:val="ListParagraph"/>
        <w:ind w:left="403" w:hanging="259"/>
      </w:pPr>
      <w:r>
        <w:rPr>
          <w:rFonts w:ascii="Arial" w:hAnsi="Arial"/>
          <w:b/>
          <w:i w:val="0"/>
          <w:color w:val="1F2430"/>
          <w:sz w:val="19"/>
        </w:rPr>
        <w:t>2. Recharge allocation rules are approved and versioned.</w:t>
      </w:r>
    </w:p>
    <w:p>
      <w:pPr>
        <w:pStyle w:val="ListParagraph"/>
        <w:ind w:left="403" w:hanging="259"/>
      </w:pPr>
      <w:r>
        <w:rPr>
          <w:rFonts w:ascii="Arial" w:hAnsi="Arial"/>
          <w:b/>
          <w:i w:val="0"/>
          <w:color w:val="1F2430"/>
          <w:sz w:val="19"/>
        </w:rPr>
        <w:t>3. Counterparty confirmation is required before settlement readiness.</w:t>
      </w:r>
    </w:p>
    <w:p>
      <w:pPr>
        <w:pStyle w:val="ListParagraph"/>
        <w:ind w:left="403" w:hanging="259"/>
      </w:pPr>
      <w:r>
        <w:rPr>
          <w:rFonts w:ascii="Arial" w:hAnsi="Arial"/>
          <w:b/>
          <w:i w:val="0"/>
          <w:color w:val="1F2430"/>
          <w:sz w:val="19"/>
        </w:rPr>
        <w:t>4. FX differences above threshold are explained and approved.</w:t>
      </w:r>
    </w:p>
    <w:p>
      <w:pPr>
        <w:pStyle w:val="ListParagraph"/>
        <w:ind w:left="403" w:hanging="259"/>
      </w:pPr>
      <w:r>
        <w:rPr>
          <w:rFonts w:ascii="Arial" w:hAnsi="Arial"/>
          <w:b/>
          <w:i w:val="0"/>
          <w:color w:val="1F2430"/>
          <w:sz w:val="19"/>
        </w:rPr>
        <w:t>5. Elimination support exports with mismatch and sign-off evidence.</w:t>
      </w:r>
    </w:p>
    <w:p>
      <w:pPr>
        <w:pStyle w:val="Heading1"/>
        <w:keepNext/>
        <w:spacing w:before="360" w:after="160"/>
        <w:pBdr>
          <w:bottom w:val="single" w:sz="10" w:space="4" w:color="2E5C8A"/>
        </w:pBdr>
      </w:pPr>
      <w:r>
        <w:rPr>
          <w:rFonts w:ascii="Arial" w:hAnsi="Arial"/>
          <w:b/>
          <w:i w:val="0"/>
          <w:color w:val="C9A24B"/>
          <w:sz w:val="28"/>
        </w:rPr>
        <w:t xml:space="preserve">14  </w:t>
      </w:r>
      <w:r>
        <w:rPr>
          <w:rFonts w:ascii="Arial" w:hAnsi="Arial"/>
          <w:b/>
          <w:i w:val="0"/>
          <w:color w:val="16243D"/>
          <w:sz w:val="28"/>
        </w:rPr>
        <w:t>Implementation Risks and Dependencies</w:t>
      </w:r>
    </w:p>
    <w:p>
      <w:pPr>
        <w:pStyle w:val="ListParagraph"/>
        <w:ind w:left="403" w:hanging="259"/>
      </w:pPr>
      <w:r>
        <w:rPr>
          <w:rFonts w:ascii="Arial" w:hAnsi="Arial"/>
          <w:b w:val="0"/>
          <w:i w:val="0"/>
          <w:color w:val="1F2430"/>
          <w:sz w:val="19"/>
        </w:rPr>
        <w:t>• Entity chart-of-account mapping must be aligned for counterparty matching.</w:t>
      </w:r>
    </w:p>
    <w:p>
      <w:pPr>
        <w:pStyle w:val="ListParagraph"/>
        <w:ind w:left="403" w:hanging="259"/>
      </w:pPr>
      <w:r>
        <w:rPr>
          <w:rFonts w:ascii="Arial" w:hAnsi="Arial"/>
          <w:b w:val="0"/>
          <w:i w:val="0"/>
          <w:color w:val="1F2430"/>
          <w:sz w:val="19"/>
        </w:rPr>
        <w:t>• Recharge policies and allocation methods require group finance approval.</w:t>
      </w:r>
    </w:p>
    <w:p>
      <w:pPr>
        <w:pStyle w:val="ListParagraph"/>
        <w:ind w:left="403" w:hanging="259"/>
      </w:pPr>
      <w:r>
        <w:rPr>
          <w:rFonts w:ascii="Arial" w:hAnsi="Arial"/>
          <w:b w:val="0"/>
          <w:i w:val="0"/>
          <w:color w:val="1F2430"/>
          <w:sz w:val="19"/>
        </w:rPr>
        <w:t>• Multi-currency treatment must align with accounting policy.</w:t>
      </w:r>
    </w:p>
    <w:p>
      <w:pPr>
        <w:pStyle w:val="ListParagraph"/>
        <w:ind w:left="403" w:hanging="259"/>
      </w:pPr>
      <w:r>
        <w:rPr>
          <w:rFonts w:ascii="Arial" w:hAnsi="Arial"/>
          <w:b w:val="0"/>
          <w:i w:val="0"/>
          <w:color w:val="1F2430"/>
          <w:sz w:val="19"/>
        </w:rPr>
        <w:t>• Historic unmatched balances may need remediation before rollout.</w:t>
      </w:r>
    </w:p>
    <w:p>
      <w:pPr>
        <w:pStyle w:val="ListParagraph"/>
        <w:ind w:left="403" w:hanging="259"/>
      </w:pPr>
      <w:r>
        <w:rPr>
          <w:rFonts w:ascii="Arial" w:hAnsi="Arial"/>
          <w:b w:val="0"/>
          <w:i w:val="0"/>
          <w:color w:val="1F2430"/>
          <w:sz w:val="19"/>
        </w:rPr>
        <w:t>• Entity teams must agree ownership of mismatch resolution.</w:t>
      </w:r>
    </w:p>
    <w:p>
      <w:pPr>
        <w:pStyle w:val="Heading1"/>
        <w:keepNext/>
        <w:spacing w:before="360" w:after="160"/>
        <w:pBdr>
          <w:bottom w:val="single" w:sz="10" w:space="4" w:color="2E5C8A"/>
        </w:pBdr>
      </w:pPr>
      <w:r>
        <w:rPr>
          <w:rFonts w:ascii="Arial" w:hAnsi="Arial"/>
          <w:b/>
          <w:i w:val="0"/>
          <w:color w:val="C9A24B"/>
          <w:sz w:val="28"/>
        </w:rPr>
        <w:t xml:space="preserve">15  </w:t>
      </w:r>
      <w:r>
        <w:rPr>
          <w:rFonts w:ascii="Arial" w:hAnsi="Arial"/>
          <w:b/>
          <w:i w:val="0"/>
          <w:color w:val="16243D"/>
          <w:sz w:val="28"/>
        </w:rPr>
        <w:t>Implementation Notes</w:t>
      </w:r>
    </w:p>
    <w:p>
      <w:pPr>
        <w:pStyle w:val="ListParagraph"/>
        <w:ind w:left="403" w:hanging="259"/>
      </w:pPr>
      <w:r>
        <w:rPr>
          <w:rFonts w:ascii="Arial" w:hAnsi="Arial"/>
          <w:b w:val="0"/>
          <w:i w:val="0"/>
          <w:color w:val="1F2430"/>
          <w:sz w:val="19"/>
        </w:rPr>
        <w:t>• Confirm Intercompany Settlements process owner and reviewer roles before design sign-off.</w:t>
      </w:r>
    </w:p>
    <w:p>
      <w:pPr>
        <w:pStyle w:val="ListParagraph"/>
        <w:ind w:left="403" w:hanging="259"/>
      </w:pPr>
      <w:r>
        <w:rPr>
          <w:rFonts w:ascii="Arial" w:hAnsi="Arial"/>
          <w:b w:val="0"/>
          <w:i w:val="0"/>
          <w:color w:val="1F2430"/>
          <w:sz w:val="19"/>
        </w:rPr>
        <w:t>• Validate the required data fields against Oracle NetSuite OneWorld configuration.</w:t>
      </w:r>
    </w:p>
    <w:p>
      <w:pPr>
        <w:pStyle w:val="ListParagraph"/>
        <w:ind w:left="403" w:hanging="259"/>
      </w:pPr>
      <w:r>
        <w:rPr>
          <w:rFonts w:ascii="Arial" w:hAnsi="Arial"/>
          <w:b w:val="0"/>
          <w:i w:val="0"/>
          <w:color w:val="1F2430"/>
          <w:sz w:val="19"/>
        </w:rPr>
        <w:t>• Run UAT with approved sample scenarios before production data migration or cutover.</w:t>
      </w:r>
    </w:p>
    <w:p>
      <w:pPr>
        <w:pStyle w:val="ListParagraph"/>
        <w:ind w:left="403" w:hanging="259"/>
      </w:pPr>
      <w:r>
        <w:rPr>
          <w:rFonts w:ascii="Arial" w:hAnsi="Arial"/>
          <w:b w:val="0"/>
          <w:i w:val="0"/>
          <w:color w:val="1F2430"/>
          <w:sz w:val="19"/>
        </w:rPr>
        <w:t>• Keep any future AI-assisted drafting behind structured templates and human approval.</w:t>
      </w:r>
    </w:p>
    <w:p>
      <w:pPr>
        <w:pStyle w:val="Heading1"/>
        <w:keepNext/>
        <w:spacing w:before="360" w:after="160"/>
        <w:pBdr>
          <w:bottom w:val="single" w:sz="10" w:space="4" w:color="2E5C8A"/>
        </w:pBdr>
      </w:pPr>
      <w:r>
        <w:rPr>
          <w:rFonts w:ascii="Arial" w:hAnsi="Arial"/>
          <w:b/>
          <w:i w:val="0"/>
          <w:color w:val="C9A24B"/>
          <w:sz w:val="28"/>
        </w:rPr>
        <w:t xml:space="preserve">16  </w:t>
      </w:r>
      <w:r>
        <w:rPr>
          <w:rFonts w:ascii="Arial" w:hAnsi="Arial"/>
          <w:b/>
          <w:i w:val="0"/>
          <w:color w:val="16243D"/>
          <w:sz w:val="28"/>
        </w:rPr>
        <w:t>Visual Process Documentation</w:t>
      </w:r>
    </w:p>
    <w:p>
      <w:r>
        <w:t>The Mermaid process map can be copied into Mermaid-compatible tools for rendering. The plain-language summary below is included for Word review.</w:t>
      </w:r>
    </w:p>
    <w:p>
      <w:pPr>
        <w:pStyle w:val="ListParagraph"/>
        <w:ind w:left="403" w:hanging="259"/>
      </w:pPr>
      <w:r>
        <w:rPr>
          <w:rFonts w:ascii="Arial" w:hAnsi="Arial"/>
          <w:b w:val="0"/>
          <w:i w:val="0"/>
          <w:color w:val="1F2430"/>
          <w:sz w:val="19"/>
        </w:rPr>
        <w:t>• Trigger: Intercompany Settlements trigger.</w:t>
      </w:r>
    </w:p>
    <w:p>
      <w:pPr>
        <w:pStyle w:val="ListParagraph"/>
        <w:ind w:left="403" w:hanging="259"/>
      </w:pPr>
      <w:r>
        <w:rPr>
          <w:rFonts w:ascii="Arial" w:hAnsi="Arial"/>
          <w:b w:val="0"/>
          <w:i w:val="0"/>
          <w:color w:val="1F2430"/>
          <w:sz w:val="19"/>
        </w:rPr>
        <w:t>• Intake/source: Entity ERP ledgers, recharge spreadsheets, and group consolidation workbook.</w:t>
      </w:r>
    </w:p>
    <w:p>
      <w:pPr>
        <w:pStyle w:val="ListParagraph"/>
        <w:ind w:left="403" w:hanging="259"/>
      </w:pPr>
      <w:r>
        <w:rPr>
          <w:rFonts w:ascii="Arial" w:hAnsi="Arial"/>
          <w:b w:val="0"/>
          <w:i w:val="0"/>
          <w:color w:val="1F2430"/>
          <w:sz w:val="19"/>
        </w:rPr>
        <w:t>• Validation: confirm data completeness, ownership, control evidence, and exception status.</w:t>
      </w:r>
    </w:p>
    <w:p>
      <w:pPr>
        <w:pStyle w:val="ListParagraph"/>
        <w:ind w:left="403" w:hanging="259"/>
      </w:pPr>
      <w:r>
        <w:rPr>
          <w:rFonts w:ascii="Arial" w:hAnsi="Arial"/>
          <w:b w:val="0"/>
          <w:i w:val="0"/>
          <w:color w:val="1F2430"/>
          <w:sz w:val="19"/>
        </w:rPr>
        <w:t>• Exception handling: route exceptions to the process owner before approval or readiness.</w:t>
      </w:r>
    </w:p>
    <w:p>
      <w:pPr>
        <w:pStyle w:val="ListParagraph"/>
        <w:ind w:left="403" w:hanging="259"/>
      </w:pPr>
      <w:r>
        <w:rPr>
          <w:rFonts w:ascii="Arial" w:hAnsi="Arial"/>
          <w:b w:val="0"/>
          <w:i w:val="0"/>
          <w:color w:val="1F2430"/>
          <w:sz w:val="19"/>
        </w:rPr>
        <w:t>• Approval/review: Intercompany Settlements approval / review.</w:t>
      </w:r>
    </w:p>
    <w:p>
      <w:pPr>
        <w:pStyle w:val="ListParagraph"/>
        <w:ind w:left="403" w:hanging="259"/>
      </w:pPr>
      <w:r>
        <w:rPr>
          <w:rFonts w:ascii="Arial" w:hAnsi="Arial"/>
          <w:b w:val="0"/>
          <w:i w:val="0"/>
          <w:color w:val="1F2430"/>
          <w:sz w:val="19"/>
        </w:rPr>
        <w:t>• Reporting/evidence: Entity-pair ageing, unmatched balances, recharge approvals, and FX difference summary.</w:t>
      </w:r>
    </w:p>
    <w:p>
      <w:pPr>
        <w:pStyle w:val="ListParagraph"/>
        <w:ind w:left="403" w:hanging="259"/>
      </w:pPr>
      <w:r>
        <w:rPr>
          <w:rFonts w:ascii="Arial" w:hAnsi="Arial"/>
          <w:b w:val="0"/>
          <w:i w:val="0"/>
          <w:color w:val="1F2430"/>
          <w:sz w:val="19"/>
        </w:rPr>
        <w:t>• Sign-off/readiness: confirm Intercompany Settlements evidence and acceptance criteria before build.</w:t>
      </w:r>
    </w:p>
    <w:p>
      <w:pPr>
        <w:pStyle w:val="Heading1"/>
        <w:keepNext/>
        <w:spacing w:before="360" w:after="160"/>
        <w:pBdr>
          <w:bottom w:val="single" w:sz="10" w:space="4" w:color="2E5C8A"/>
        </w:pBdr>
      </w:pPr>
      <w:r>
        <w:rPr>
          <w:rFonts w:ascii="Arial" w:hAnsi="Arial"/>
          <w:b/>
          <w:i w:val="0"/>
          <w:color w:val="C9A24B"/>
          <w:sz w:val="28"/>
        </w:rPr>
        <w:t xml:space="preserve">17  </w:t>
      </w:r>
      <w:r>
        <w:rPr>
          <w:rFonts w:ascii="Arial" w:hAnsi="Arial"/>
          <w:b/>
          <w:i w:val="0"/>
          <w:color w:val="16243D"/>
          <w:sz w:val="28"/>
        </w:rPr>
        <w:t>Control-Risk Matrix</w:t>
      </w:r>
    </w:p>
    <w:p>
      <w:r>
        <w:t>A compact control-risk summary is shown below. Full CSV and XLSX matrix exports are available from the Streamlit export 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800"/>
        <w:gridCol w:w="2500"/>
        <w:gridCol w:w="2500"/>
        <w:gridCol w:w="2560"/>
      </w:tblGrid>
      <w:tr>
        <w:tc>
          <w:tcPr>
            <w:tcW w:type="dxa" w:w="1800"/>
            <w:shd w:fill="16243D"/>
            <w:tcMar>
              <w:top w:w="70" w:type="dxa"/>
              <w:bottom w:w="70" w:type="dxa"/>
              <w:left w:w="130" w:type="dxa"/>
              <w:right w:w="130" w:type="dxa"/>
            </w:tcMar>
          </w:tcPr>
          <w:p>
            <w:pPr>
              <w:spacing w:after="0"/>
            </w:pPr>
            <w:r/>
            <w:r>
              <w:rPr>
                <w:rFonts w:ascii="Arial" w:hAnsi="Arial"/>
                <w:b/>
                <w:i w:val="0"/>
                <w:color w:val="FFFFFF"/>
                <w:sz w:val="16"/>
              </w:rPr>
              <w:t>RISK AREA</w:t>
            </w:r>
          </w:p>
        </w:tc>
        <w:tc>
          <w:tcPr>
            <w:tcW w:type="dxa" w:w="2500"/>
            <w:shd w:fill="16243D"/>
            <w:tcMar>
              <w:top w:w="70" w:type="dxa"/>
              <w:bottom w:w="70" w:type="dxa"/>
              <w:left w:w="130" w:type="dxa"/>
              <w:right w:w="130" w:type="dxa"/>
            </w:tcMar>
          </w:tcPr>
          <w:p>
            <w:pPr>
              <w:spacing w:after="0"/>
            </w:pPr>
            <w:r/>
            <w:r>
              <w:rPr>
                <w:rFonts w:ascii="Arial" w:hAnsi="Arial"/>
                <w:b/>
                <w:i w:val="0"/>
                <w:color w:val="FFFFFF"/>
                <w:sz w:val="16"/>
              </w:rPr>
              <w:t>CONTROL ACTIVITY</w:t>
            </w:r>
          </w:p>
        </w:tc>
        <w:tc>
          <w:tcPr>
            <w:tcW w:type="dxa" w:w="2500"/>
            <w:shd w:fill="16243D"/>
            <w:tcMar>
              <w:top w:w="70" w:type="dxa"/>
              <w:bottom w:w="70" w:type="dxa"/>
              <w:left w:w="130" w:type="dxa"/>
              <w:right w:w="130" w:type="dxa"/>
            </w:tcMar>
          </w:tcPr>
          <w:p>
            <w:pPr>
              <w:spacing w:after="0"/>
            </w:pPr>
            <w:r/>
            <w:r>
              <w:rPr>
                <w:rFonts w:ascii="Arial" w:hAnsi="Arial"/>
                <w:b/>
                <w:i w:val="0"/>
                <w:color w:val="FFFFFF"/>
                <w:sz w:val="16"/>
              </w:rPr>
              <w:t>EVIDENCE REQUIRED</w:t>
            </w:r>
          </w:p>
        </w:tc>
        <w:tc>
          <w:tcPr>
            <w:tcW w:type="dxa" w:w="2560"/>
            <w:shd w:fill="16243D"/>
            <w:tcMar>
              <w:top w:w="70" w:type="dxa"/>
              <w:bottom w:w="70" w:type="dxa"/>
              <w:left w:w="130" w:type="dxa"/>
              <w:right w:w="130" w:type="dxa"/>
            </w:tcMar>
          </w:tcPr>
          <w:p>
            <w:pPr>
              <w:spacing w:after="0"/>
            </w:pPr>
            <w:r/>
            <w:r>
              <w:rPr>
                <w:rFonts w:ascii="Arial" w:hAnsi="Arial"/>
                <w:b/>
                <w:i w:val="0"/>
                <w:color w:val="FFFFFF"/>
                <w:sz w:val="16"/>
              </w:rPr>
              <w:t>RELATED UAT / NOTE</w:t>
            </w:r>
          </w:p>
        </w:tc>
      </w:tr>
      <w:tr>
        <w:tc>
          <w:tcPr>
            <w:tcW w:type="dxa" w:w="18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Intercompany mismatch ageing</w:t>
            </w:r>
          </w:p>
        </w:tc>
        <w:tc>
          <w:tcPr>
            <w:tcW w:type="dxa" w:w="25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Recharge rules and allocation basis require finance owner approval.</w:t>
            </w:r>
          </w:p>
        </w:tc>
        <w:tc>
          <w:tcPr>
            <w:tcW w:type="dxa" w:w="25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Store recharge creation, approval, counterparty confirmation, settlement, and elimination sign-off timestamps.</w:t>
            </w:r>
          </w:p>
        </w:tc>
        <w:tc>
          <w:tcPr>
            <w:tcW w:type="dxa" w:w="2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UAT-01: Entity chart-of-account mapping must be aligned for counterparty matching.</w:t>
            </w:r>
          </w:p>
        </w:tc>
      </w:tr>
      <w:tr>
        <w:tc>
          <w:tcPr>
            <w:tcW w:type="dxa" w:w="180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Recharge rule ambiguity</w:t>
            </w:r>
          </w:p>
        </w:tc>
        <w:tc>
          <w:tcPr>
            <w:tcW w:type="dxa" w:w="250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Counterparty confirmation is required before settlement readiness.</w:t>
            </w:r>
          </w:p>
        </w:tc>
        <w:tc>
          <w:tcPr>
            <w:tcW w:type="dxa" w:w="250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Record allocation basis changes with requester, reviewer, reason, and effective period.</w:t>
            </w:r>
          </w:p>
        </w:tc>
        <w:tc>
          <w:tcPr>
            <w:tcW w:type="dxa" w:w="2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UAT-02: Recharge policies and allocation methods require group finance approval.</w:t>
            </w:r>
          </w:p>
        </w:tc>
      </w:tr>
      <w:tr>
        <w:tc>
          <w:tcPr>
            <w:tcW w:type="dxa" w:w="18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FX difference review gaps</w:t>
            </w:r>
          </w:p>
        </w:tc>
        <w:tc>
          <w:tcPr>
            <w:tcW w:type="dxa" w:w="25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Aged unmatched intercompany balances escalate to group finance.</w:t>
            </w:r>
          </w:p>
        </w:tc>
        <w:tc>
          <w:tcPr>
            <w:tcW w:type="dxa" w:w="25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Track unmatched balance owner/status history by entity pair.</w:t>
            </w:r>
          </w:p>
        </w:tc>
        <w:tc>
          <w:tcPr>
            <w:tcW w:type="dxa" w:w="2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UAT-03: Multi-currency treatment must align with accounting policy.</w:t>
            </w:r>
          </w:p>
        </w:tc>
      </w:tr>
      <w:tr>
        <w:tc>
          <w:tcPr>
            <w:tcW w:type="dxa" w:w="180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Intercompany mismatch ageing</w:t>
            </w:r>
          </w:p>
        </w:tc>
        <w:tc>
          <w:tcPr>
            <w:tcW w:type="dxa" w:w="250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FX differences over materiality threshold require review and explanation.</w:t>
            </w:r>
          </w:p>
        </w:tc>
        <w:tc>
          <w:tcPr>
            <w:tcW w:type="dxa" w:w="250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Preserve FX difference explanations and reviewer decisions.</w:t>
            </w:r>
          </w:p>
        </w:tc>
        <w:tc>
          <w:tcPr>
            <w:tcW w:type="dxa" w:w="2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17"/>
              </w:rPr>
              <w:t>UAT-04: Historic unmatched balances may need remediation before rollout.</w:t>
            </w:r>
          </w:p>
        </w:tc>
      </w:tr>
      <w:tr>
        <w:tc>
          <w:tcPr>
            <w:tcW w:type="dxa" w:w="18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Recharge rule ambiguity</w:t>
            </w:r>
          </w:p>
        </w:tc>
        <w:tc>
          <w:tcPr>
            <w:tcW w:type="dxa" w:w="25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Elimination support cannot be marked complete until mismatches are resolved or approved.</w:t>
            </w:r>
          </w:p>
        </w:tc>
        <w:tc>
          <w:tcPr>
            <w:tcW w:type="dxa" w:w="25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Keep counterparty confirmation evidence and settlement approval references.</w:t>
            </w:r>
          </w:p>
        </w:tc>
        <w:tc>
          <w:tcPr>
            <w:tcW w:type="dxa" w:w="2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17"/>
              </w:rPr>
              <w:t>UAT-05: Entity teams must agree ownership of mismatch resolution.</w:t>
            </w:r>
          </w:p>
        </w:tc>
      </w:tr>
    </w:tbl>
    <w:p>
      <w:pPr>
        <w:spacing w:after="220"/>
      </w:pPr>
    </w:p>
    <w:tbl>
      <w:tblPr>
        <w:tblW w:type="dxa" w:w="9360"/>
        <w:tblLayout w:type="fixed"/>
        <w:tblLook w:firstColumn="1" w:firstRow="1" w:lastColumn="0" w:lastRow="0" w:noHBand="0" w:noVBand="1" w:val="04A0"/>
        <w:tblBorders>
          <w:top w:val="single" w:sz="6" w:space="0" w:color="CFA63A"/>
          <w:left w:val="single" w:sz="18" w:space="0" w:color="CFA63A"/>
          <w:bottom w:val="single" w:sz="6" w:space="0" w:color="CFA63A"/>
          <w:right w:val="single" w:sz="6" w:space="0" w:color="CFA63A"/>
          <w:insideH w:val="single" w:sz="6" w:space="0" w:color="CFA63A"/>
          <w:insideV w:val="single" w:sz="6" w:space="0" w:color="CFA63A"/>
        </w:tblBorders>
      </w:tblPr>
      <w:tblGrid>
        <w:gridCol w:w="9360"/>
      </w:tblGrid>
      <w:tr>
        <w:tc>
          <w:tcPr>
            <w:tcW w:type="dxa" w:w="9360"/>
            <w:shd w:fill="FBF5E7"/>
            <w:tcMar>
              <w:top w:w="150" w:type="dxa"/>
              <w:bottom w:w="150" w:type="dxa"/>
              <w:left w:w="200" w:type="dxa"/>
              <w:right w:w="180" w:type="dxa"/>
            </w:tcMar>
          </w:tcPr>
          <w:p>
            <w:pPr>
              <w:spacing w:after="60"/>
            </w:pPr>
            <w:r/>
            <w:r>
              <w:rPr>
                <w:rFonts w:ascii="Arial" w:hAnsi="Arial"/>
                <w:b/>
                <w:i w:val="0"/>
                <w:color w:val="8A6D1F"/>
                <w:sz w:val="17"/>
              </w:rPr>
              <w:t>PUBLIC-SAFE SAMPLE DATA NOTE</w:t>
            </w:r>
          </w:p>
          <w:p>
            <w:pPr>
              <w:spacing w:after="0"/>
            </w:pPr>
            <w:r>
              <w:rPr>
                <w:rFonts w:ascii="Arial" w:hAnsi="Arial"/>
                <w:b w:val="0"/>
                <w:i w:val="0"/>
                <w:color w:val="3A4253"/>
                <w:sz w:val="19"/>
              </w:rPr>
              <w:t>This pack was generated from fictional, public-safe sample inputs. It does not contain real employer, client, supplier, bank, VAT, payroll, or operational data. Do not upload confidential business information into a public demo.</w:t>
            </w:r>
          </w:p>
        </w:tc>
      </w:tr>
    </w:tbl>
    <w:sectPr w:rsidR="00FC693F" w:rsidRPr="0006063C" w:rsidSect="00034616">
      <w:headerReference w:type="first" r:id="rId9"/>
      <w:footerReference w:type="first" r:id="rId10"/>
      <w:headerReference w:type="default" r:id="rId11"/>
      <w:footerReference w:type="default" r:id="rId12"/>
      <w:pgSz w:w="12240" w:h="15840"/>
      <w:pgMar w:top="1180" w:right="1440" w:bottom="1180" w:left="144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Bdr>
        <w:top w:val="single" w:sz="6" w:space="4" w:color="D9DEE6"/>
      </w:pBdr>
    </w:pPr>
    <w:r>
      <w:rPr>
        <w:rFonts w:ascii="Arial" w:hAnsi="Arial"/>
        <w:b w:val="0"/>
        <w:i w:val="0"/>
        <w:color w:val="6B7280"/>
        <w:sz w:val="15"/>
      </w:rPr>
      <w:t>Chez Solutions  ·  Public-safe sample document</w:t>
    </w:r>
    <w:r>
      <w:rPr>
        <w:rFonts w:ascii="Arial" w:hAnsi="Arial"/>
        <w:b w:val="0"/>
        <w:i w:val="0"/>
        <w:color w:val="6B7280"/>
        <w:sz w:val="15"/>
      </w:rPr>
      <w:tab/>
      <w:t xml:space="preserve">Page </w:t>
    </w:r>
    <w:r>
      <w:rPr>
        <w:rFonts w:ascii="Arial" w:hAnsi="Arial"/>
        <w:color w:val="16243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D9DEE6"/>
      </w:pBdr>
    </w:pPr>
    <w:r/>
    <w:r>
      <w:rPr>
        <w:rFonts w:ascii="Arial" w:hAnsi="Arial"/>
        <w:b/>
        <w:i w:val="0"/>
        <w:color w:val="16243D"/>
        <w:sz w:val="16"/>
      </w:rPr>
      <w:t>Intercompany Settlements Requirements Pack</w:t>
    </w:r>
    <w:r>
      <w:rPr>
        <w:rFonts w:ascii="Arial" w:hAnsi="Arial"/>
        <w:b w:val="0"/>
        <w:i w:val="0"/>
        <w:color w:val="6B7280"/>
        <w:sz w:val="16"/>
      </w:rPr>
      <w:tab/>
      <w:t>Summit Group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24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Arial" w:hAnsi="Arial"/>
      <w:sz w:val="19"/>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