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Bank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BlueRiver Foods Ltd</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BlueRiver Foods Ltd</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STATEMENT LINES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BlueRiver Foods Ltd needs a structured Bank Reconciliation requirements pack to reduce rework, clarify control ownership, and make Microsoft Dynamics 365 Business Central implementation decisions testable. The pack translates unmatched bank statement lines, suspense account ageing, and manual owner/status tracking into requirements for workflow, data, controls, reporting, audit trail, and UAT. It is sized for 8 bank accounts with roughly 4,500 statement lines per month and frames the control design, reporting outputs, and acceptance criteria needed within a target delivery window of 8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Bank Reconciliation process relies on Bank portal exports, ERP cashbook, and month-end spreadsheet reconciliation. That creates avoidable risk around unmatched bank statement lines, suspense account ageing, and manual owner/status tracking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Bank statement ingestion, matching status, exception ownership, suspense clearing, and reviewer sign-off; Daily visibility of unmatched receipts, payments, fees, and transfers; and Month-end reconciliation evidence suitable for finance and audit review. The design will support multi-site food distribution business users on Microsoft Dynamics 365 Business Central, with emphasis on month-end close evidence and internal control review.</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Bank Reconciliation requirements for the agreed multi-site food distribution business process.</w:t>
            </w:r>
          </w:p>
          <w:p>
            <w:pPr>
              <w:spacing w:after="70"/>
            </w:pPr>
            <w:r>
              <w:rPr>
                <w:rFonts w:ascii="Arial" w:hAnsi="Arial"/>
                <w:b w:val="0"/>
                <w:i w:val="0"/>
                <w:color w:val="1F2430"/>
                <w:sz w:val="19"/>
              </w:rPr>
              <w:t>• Workflow, data, controls, reporting, audit trail, and UAT requirements for Microsoft Dynamics 365 Business Central.</w:t>
            </w:r>
          </w:p>
          <w:p>
            <w:pPr>
              <w:spacing w:after="70"/>
            </w:pPr>
            <w:r>
              <w:rPr>
                <w:rFonts w:ascii="Arial" w:hAnsi="Arial"/>
                <w:b w:val="0"/>
                <w:i w:val="0"/>
                <w:color w:val="1F2430"/>
                <w:sz w:val="19"/>
              </w:rPr>
              <w:t>• Process pain points covering unmatched bank statement lines, suspense account ageing, and manual owner/status tracking.</w:t>
            </w:r>
          </w:p>
          <w:p>
            <w:pPr>
              <w:spacing w:after="70"/>
            </w:pPr>
            <w:r>
              <w:rPr>
                <w:rFonts w:ascii="Arial" w:hAnsi="Arial"/>
                <w:b w:val="0"/>
                <w:i w:val="0"/>
                <w:color w:val="1F2430"/>
                <w:sz w:val="19"/>
              </w:rPr>
              <w:t>• Reporting requirement: Daily unmatched item ageing and month-end reconciliation evidence pack.</w:t>
            </w:r>
          </w:p>
          <w:p>
            <w:pPr>
              <w:spacing w:after="70"/>
            </w:pPr>
            <w:r>
              <w:rPr>
                <w:rFonts w:ascii="Arial" w:hAnsi="Arial"/>
                <w:b w:val="0"/>
                <w:i w:val="0"/>
                <w:color w:val="1F2430"/>
                <w:sz w:val="19"/>
              </w:rPr>
              <w:t>• Implementation window and readiness assumptions for the 8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Bank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Import or capture bank statement date, value date, description, amount, currency, and bank account.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bank lines to ledger transactions using reference, amount, date tolerance, and counterparty.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unmatched lines with owner, status, reason code, ageing, and expected resolution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unreconciled receipts, unreconciled payments, bank fees, transfers, and unknown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Link suspense account entries to the originating bank line and clearing journal.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Require reviewer sign-off once reconciliation differences are explained or cleared.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month-end reconciliation pack with outstanding items and movement commentary.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Escalate high-value or aged unmatched lines based on finance policy thresholds.</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account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Statement line ID</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Ledger transaction ID</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Match status</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Exception owner</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Ageing bucket</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account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timestamp</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sign-off required before a reconciliation period is marked complete.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Aged unmatched lines escalate after the policy threshold.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entries require reason codes and supporting notes.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overrides require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Reconciliation status is locked after period close except through controlled reopen.</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Daily unmatched item ageing and month-end reconciliation evidence pack.</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Bank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all matching, unmatching, manual override, and suspense clearing actions.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preparer completion and reviewer sign-off timestamps.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Keep owner/status history for aged unmatched lines.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supporting notes and evidence links for unresolved differences.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period reopen requests with reason, requester, approver, and date.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Reconciliation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Unmatched lines grouped by ageing so old differences are prioritised.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Manager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Suspense clearing status so unresolved items do not hide at month end.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Reviewer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Clear sign-off evidence so reconciliation completion is defensible.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Manual match override history so judgemental matches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Treasury Analyst</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Bank fees and transfers separated so routine items are cleared quickly.</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bank statement line has no ledger match after import.</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line is marked unmatched with owner, ageing, and reason fields required.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 suspense item remains open past the policy threshold.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item is escalated and appears in the aged suspense view.</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preparer manually matches two transactions.</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manual override is logged and requires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signs off a completed reconciliation.</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name, timestamp, and outstanding item summary are saved.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closed reconciliation period is reopened.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Reopen reason and approver are recorded before edits are allowed.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Month-end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unmatched lines, ageing, suspense movements, and reviewer sign-off.</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Unmatched lines show owner, status, ageing, reason, and expected resolution date.</w:t>
      </w:r>
    </w:p>
    <w:p>
      <w:pPr>
        <w:pStyle w:val="ListParagraph"/>
        <w:ind w:left="403" w:hanging="259"/>
      </w:pPr>
      <w:r>
        <w:rPr>
          <w:rFonts w:ascii="Arial" w:hAnsi="Arial"/>
          <w:b/>
          <w:i w:val="0"/>
          <w:color w:val="1F2430"/>
          <w:sz w:val="19"/>
        </w:rPr>
        <w:t>2. Suspense account items can be traced from bank line to clearing journal.</w:t>
      </w:r>
    </w:p>
    <w:p>
      <w:pPr>
        <w:pStyle w:val="ListParagraph"/>
        <w:ind w:left="403" w:hanging="259"/>
      </w:pPr>
      <w:r>
        <w:rPr>
          <w:rFonts w:ascii="Arial" w:hAnsi="Arial"/>
          <w:b/>
          <w:i w:val="0"/>
          <w:color w:val="1F2430"/>
          <w:sz w:val="19"/>
        </w:rPr>
        <w:t>3. Reviewer sign-off is mandatory before period completion.</w:t>
      </w:r>
    </w:p>
    <w:p>
      <w:pPr>
        <w:pStyle w:val="ListParagraph"/>
        <w:ind w:left="403" w:hanging="259"/>
      </w:pPr>
      <w:r>
        <w:rPr>
          <w:rFonts w:ascii="Arial" w:hAnsi="Arial"/>
          <w:b/>
          <w:i w:val="0"/>
          <w:color w:val="1F2430"/>
          <w:sz w:val="19"/>
        </w:rPr>
        <w:t>4. Manual overrides are visible in the audit trail.</w:t>
      </w:r>
    </w:p>
    <w:p>
      <w:pPr>
        <w:pStyle w:val="ListParagraph"/>
        <w:ind w:left="403" w:hanging="259"/>
      </w:pPr>
      <w:r>
        <w:rPr>
          <w:rFonts w:ascii="Arial" w:hAnsi="Arial"/>
          <w:b/>
          <w:i w:val="0"/>
          <w:color w:val="1F2430"/>
          <w:sz w:val="19"/>
        </w:rPr>
        <w:t>5. Month-end reconciliation pack exports without manual formatting.</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Bank statement formats must be standardised across accounts.</w:t>
      </w:r>
    </w:p>
    <w:p>
      <w:pPr>
        <w:pStyle w:val="ListParagraph"/>
        <w:ind w:left="403" w:hanging="259"/>
      </w:pPr>
      <w:r>
        <w:rPr>
          <w:rFonts w:ascii="Arial" w:hAnsi="Arial"/>
          <w:b w:val="0"/>
          <w:i w:val="0"/>
          <w:color w:val="1F2430"/>
          <w:sz w:val="19"/>
        </w:rPr>
        <w:t>• Ledger reference quality may limit automated matching rates.</w:t>
      </w:r>
    </w:p>
    <w:p>
      <w:pPr>
        <w:pStyle w:val="ListParagraph"/>
        <w:ind w:left="403" w:hanging="259"/>
      </w:pPr>
      <w:r>
        <w:rPr>
          <w:rFonts w:ascii="Arial" w:hAnsi="Arial"/>
          <w:b w:val="0"/>
          <w:i w:val="0"/>
          <w:color w:val="1F2430"/>
          <w:sz w:val="19"/>
        </w:rPr>
        <w:t>• Finance policy thresholds for ageing and escalation must be approved.</w:t>
      </w:r>
    </w:p>
    <w:p>
      <w:pPr>
        <w:pStyle w:val="ListParagraph"/>
        <w:ind w:left="403" w:hanging="259"/>
      </w:pPr>
      <w:r>
        <w:rPr>
          <w:rFonts w:ascii="Arial" w:hAnsi="Arial"/>
          <w:b w:val="0"/>
          <w:i w:val="0"/>
          <w:color w:val="1F2430"/>
          <w:sz w:val="19"/>
        </w:rPr>
        <w:t>• Reviewer roles must be configured before go-live.</w:t>
      </w:r>
    </w:p>
    <w:p>
      <w:pPr>
        <w:pStyle w:val="ListParagraph"/>
        <w:ind w:left="403" w:hanging="259"/>
      </w:pPr>
      <w:r>
        <w:rPr>
          <w:rFonts w:ascii="Arial" w:hAnsi="Arial"/>
          <w:b w:val="0"/>
          <w:i w:val="0"/>
          <w:color w:val="1F2430"/>
          <w:sz w:val="19"/>
        </w:rPr>
        <w:t>• Historic suspense items may need cleanup before migration.</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Bank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Microsoft Dynamics 365 Business Central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Bank Reconciliation trigger.</w:t>
      </w:r>
    </w:p>
    <w:p>
      <w:pPr>
        <w:pStyle w:val="ListParagraph"/>
        <w:ind w:left="403" w:hanging="259"/>
      </w:pPr>
      <w:r>
        <w:rPr>
          <w:rFonts w:ascii="Arial" w:hAnsi="Arial"/>
          <w:b w:val="0"/>
          <w:i w:val="0"/>
          <w:color w:val="1F2430"/>
          <w:sz w:val="19"/>
        </w:rPr>
        <w:t>• Intake/source: Bank portal exports, ERP cashbook, and month-end spreadsheet reconciliation.</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Bank Reconciliation approval / review.</w:t>
      </w:r>
    </w:p>
    <w:p>
      <w:pPr>
        <w:pStyle w:val="ListParagraph"/>
        <w:ind w:left="403" w:hanging="259"/>
      </w:pPr>
      <w:r>
        <w:rPr>
          <w:rFonts w:ascii="Arial" w:hAnsi="Arial"/>
          <w:b w:val="0"/>
          <w:i w:val="0"/>
          <w:color w:val="1F2430"/>
          <w:sz w:val="19"/>
        </w:rPr>
        <w:t>• Reporting/evidence: Daily unmatched item ageing and month-end reconciliation evidence pack.</w:t>
      </w:r>
    </w:p>
    <w:p>
      <w:pPr>
        <w:pStyle w:val="ListParagraph"/>
        <w:ind w:left="403" w:hanging="259"/>
      </w:pPr>
      <w:r>
        <w:rPr>
          <w:rFonts w:ascii="Arial" w:hAnsi="Arial"/>
          <w:b w:val="0"/>
          <w:i w:val="0"/>
          <w:color w:val="1F2430"/>
          <w:sz w:val="19"/>
        </w:rPr>
        <w:t>• Sign-off/readiness: confirm Bank Reconciliation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Unmatched bank statement lines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Reviewer sign-off required before a reconciliation period is marked complete.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all matching, unmatching, manual override, and suspense clearing actions.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Bank statement formats must be standardised across accounts.</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Suspense account ageing</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Aged unmatched lines escalate after the policy threshold.</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preparer completion and reviewer sign-off timestamps.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Ledger reference quality may limit automated matching rates.</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owner/status tracking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Suspense clearing entries require reason codes and supporting notes.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Keep owner/status history for aged unmatched lines.</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Finance policy thresholds for ageing and escalation must be approved.</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Unmatched bank statement lines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match overrides require reviewer approval.</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supporting notes and evidence links for unresolved differences.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Reviewer roles must be configured before go-live.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Suspense account ageing</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Reconciliation status is locked after period close except through controlled reopen.</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period reopen requests with reason, requester, approver, and date.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Historic suspense items may need cleanup before migration.</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Bank Reconciliation Requirements Pack</w:t>
    </w:r>
    <w:r>
      <w:rPr>
        <w:rFonts w:ascii="Arial" w:hAnsi="Arial"/>
        <w:b w:val="0"/>
        <w:i w:val="0"/>
        <w:color w:val="6B7280"/>
        <w:sz w:val="16"/>
      </w:rPr>
      <w:tab/>
      <w:t>BlueRiver Foods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