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Intercompany Settlements</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Summit Group Holdings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Summit Group Holdings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14</w:t>
            </w:r>
          </w:p>
          <w:p>
            <w:pPr>
              <w:spacing w:after="0"/>
              <w:jc w:val="center"/>
            </w:pPr>
            <w:r>
              <w:rPr>
                <w:rFonts w:ascii="Arial" w:hAnsi="Arial"/>
                <w:b w:val="0"/>
                <w:i w:val="0"/>
                <w:color w:val="6B7280"/>
                <w:sz w:val="14"/>
              </w:rPr>
              <w:t>ENTITIES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10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Summit Group Holdings Ltd needs a structured Intercompany Settlements requirements pack to reduce rework, clarify control ownership, and make Oracle NetSuite OneWorld implementation decisions testable. The pack translates intercompany mismatch ageing, recharge rule ambiguity, and fX difference review gaps into requirements for workflow, data, controls, reporting, audit trail, and UAT. It is sized for 14 entities, 320 intercompany lines, and 5 settlement currencies per month and frames the control design, reporting outputs, and acceptance criteria needed within a target delivery window of 10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Intercompany Settlements process relies on Entity ERP ledgers, recharge spreadsheets, and group consolidation workbook. That creates avoidable risk around intercompany mismatch ageing, recharge rule ambiguity, and fX difference review gaps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Intercompany recharge creation, counterparty confirmation, matching, settlement tracking, FX difference review, and elimination support; Visibility of balances by entity, counterparty, transaction type, currency, owner, and ageing; and Controls over recharge approval, settlement readiness, and period-end elimination evidence. The design will support multi-entity group with shared service recharges users on Oracle NetSuite OneWorld, with emphasis on counterparty confirmation, recharge approval, settlement evidence, and elimination support.</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Intercompany Settlements requirements for the agreed multi-entity group with shared service recharges process.</w:t>
            </w:r>
          </w:p>
          <w:p>
            <w:pPr>
              <w:spacing w:after="70"/>
            </w:pPr>
            <w:r>
              <w:rPr>
                <w:rFonts w:ascii="Arial" w:hAnsi="Arial"/>
                <w:b w:val="0"/>
                <w:i w:val="0"/>
                <w:color w:val="1F2430"/>
                <w:sz w:val="19"/>
              </w:rPr>
              <w:t>• Workflow, data, controls, reporting, audit trail, and UAT requirements for Oracle NetSuite OneWorld.</w:t>
            </w:r>
          </w:p>
          <w:p>
            <w:pPr>
              <w:spacing w:after="70"/>
            </w:pPr>
            <w:r>
              <w:rPr>
                <w:rFonts w:ascii="Arial" w:hAnsi="Arial"/>
                <w:b w:val="0"/>
                <w:i w:val="0"/>
                <w:color w:val="1F2430"/>
                <w:sz w:val="19"/>
              </w:rPr>
              <w:t>• Process pain points covering intercompany mismatch ageing, recharge rule ambiguity, and fX difference review gaps.</w:t>
            </w:r>
          </w:p>
          <w:p>
            <w:pPr>
              <w:spacing w:after="70"/>
            </w:pPr>
            <w:r>
              <w:rPr>
                <w:rFonts w:ascii="Arial" w:hAnsi="Arial"/>
                <w:b w:val="0"/>
                <w:i w:val="0"/>
                <w:color w:val="1F2430"/>
                <w:sz w:val="19"/>
              </w:rPr>
              <w:t>• Reporting requirement: Entity-pair ageing, unmatched balances, recharge approvals, and FX difference summary.</w:t>
            </w:r>
          </w:p>
          <w:p>
            <w:pPr>
              <w:spacing w:after="70"/>
            </w:pPr>
            <w:r>
              <w:rPr>
                <w:rFonts w:ascii="Arial" w:hAnsi="Arial"/>
                <w:b w:val="0"/>
                <w:i w:val="0"/>
                <w:color w:val="1F2430"/>
                <w:sz w:val="19"/>
              </w:rPr>
              <w:t>• Implementation window and readiness assumptions for the 10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Intercompany Settlements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Settlements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originating entity, counterparty entity, recharge type, currency, amount, tax treatment, and settlement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intercompany AR/AP balances by counterparty, invoice reference, amount, currency, and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intercompany balances with owner, ageing, reason code, and expected settlement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recharge rules, allocation basis, supporting calculation, requester, reviewer,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FX differences by entity pair, currency, transaction reference, and materiality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counterparty confirmation before settlement readiness or elimination support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intercompany ageing and mismatch reports by entity pair and transaction type.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Export elimination support evidence for group reporting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Originating entity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entity</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invoice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Transaction currency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Settlement status</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rules and allocation basis require finance owner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is required before settlement readiness.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intercompany balances escalate to group finance.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differences over materiality threshold require review and explanation.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cannot be marked complete until mismatches are resolved or approved.</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Entity-pair ageing, unmatched balances, recharge approvals, and FX difference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Intercompany Settlements.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recharge creation, approval, counterparty confirmation, settlement, and elimination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allocation basis changes with requester, reviewer, reason, and effective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balance owner/status history by entity pair.</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FX difference explanations and reviewer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counterparty confirmation evidence and settlement approval references.</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entity accountant, I want counterparty confirmation so that intercompany mismatches are resolved before close.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group finance, I want ageing by entity pair so that old balances are escalated quickly.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Recharge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Approved allocation rules so recharge calculations are consistent.</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differences explained so group reporting variances are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elimination support evidence so that consolidation adjustments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AR balance does not match the counterparty AP balance.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mismatch is created with entity pair, owner, ageing,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allocation basis is changed.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requires approval and stores reason, requester, reviewer, and effective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is missing.</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Settlement readiness and elimination sign-off are blocked.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 exceeds materiality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 explanation and approval are required before completion.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balance passes escalation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Group finance receives escalation and the item appears in the aged mismatch report.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settlement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balances, mismatches, confirmations, FX differences, settlement status, and elimination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Intercompany balances show entity pair, currency, reference, owner, status, and ageing.</w:t>
      </w:r>
    </w:p>
    <w:p>
      <w:pPr>
        <w:pStyle w:val="ListParagraph"/>
        <w:ind w:left="403" w:hanging="259"/>
      </w:pPr>
      <w:r>
        <w:rPr>
          <w:rFonts w:ascii="Arial" w:hAnsi="Arial"/>
          <w:b/>
          <w:i w:val="0"/>
          <w:color w:val="1F2430"/>
          <w:sz w:val="19"/>
        </w:rPr>
        <w:t>2. Recharge allocation rules are approved and versioned.</w:t>
      </w:r>
    </w:p>
    <w:p>
      <w:pPr>
        <w:pStyle w:val="ListParagraph"/>
        <w:ind w:left="403" w:hanging="259"/>
      </w:pPr>
      <w:r>
        <w:rPr>
          <w:rFonts w:ascii="Arial" w:hAnsi="Arial"/>
          <w:b/>
          <w:i w:val="0"/>
          <w:color w:val="1F2430"/>
          <w:sz w:val="19"/>
        </w:rPr>
        <w:t>3. Counterparty confirmation is required before settlement readiness.</w:t>
      </w:r>
    </w:p>
    <w:p>
      <w:pPr>
        <w:pStyle w:val="ListParagraph"/>
        <w:ind w:left="403" w:hanging="259"/>
      </w:pPr>
      <w:r>
        <w:rPr>
          <w:rFonts w:ascii="Arial" w:hAnsi="Arial"/>
          <w:b/>
          <w:i w:val="0"/>
          <w:color w:val="1F2430"/>
          <w:sz w:val="19"/>
        </w:rPr>
        <w:t>4. FX differences above threshold are explained and approved.</w:t>
      </w:r>
    </w:p>
    <w:p>
      <w:pPr>
        <w:pStyle w:val="ListParagraph"/>
        <w:ind w:left="403" w:hanging="259"/>
      </w:pPr>
      <w:r>
        <w:rPr>
          <w:rFonts w:ascii="Arial" w:hAnsi="Arial"/>
          <w:b/>
          <w:i w:val="0"/>
          <w:color w:val="1F2430"/>
          <w:sz w:val="19"/>
        </w:rPr>
        <w:t>5. Elimination support exports with mismatch and sign-off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Entity chart-of-account mapping must be aligned for counterparty matching.</w:t>
      </w:r>
    </w:p>
    <w:p>
      <w:pPr>
        <w:pStyle w:val="ListParagraph"/>
        <w:ind w:left="403" w:hanging="259"/>
      </w:pPr>
      <w:r>
        <w:rPr>
          <w:rFonts w:ascii="Arial" w:hAnsi="Arial"/>
          <w:b w:val="0"/>
          <w:i w:val="0"/>
          <w:color w:val="1F2430"/>
          <w:sz w:val="19"/>
        </w:rPr>
        <w:t>• Recharge policies and allocation methods require group finance approval.</w:t>
      </w:r>
    </w:p>
    <w:p>
      <w:pPr>
        <w:pStyle w:val="ListParagraph"/>
        <w:ind w:left="403" w:hanging="259"/>
      </w:pPr>
      <w:r>
        <w:rPr>
          <w:rFonts w:ascii="Arial" w:hAnsi="Arial"/>
          <w:b w:val="0"/>
          <w:i w:val="0"/>
          <w:color w:val="1F2430"/>
          <w:sz w:val="19"/>
        </w:rPr>
        <w:t>• Multi-currency treatment must align with accounting policy.</w:t>
      </w:r>
    </w:p>
    <w:p>
      <w:pPr>
        <w:pStyle w:val="ListParagraph"/>
        <w:ind w:left="403" w:hanging="259"/>
      </w:pPr>
      <w:r>
        <w:rPr>
          <w:rFonts w:ascii="Arial" w:hAnsi="Arial"/>
          <w:b w:val="0"/>
          <w:i w:val="0"/>
          <w:color w:val="1F2430"/>
          <w:sz w:val="19"/>
        </w:rPr>
        <w:t>• Historic unmatched balances may need remediation before rollout.</w:t>
      </w:r>
    </w:p>
    <w:p>
      <w:pPr>
        <w:pStyle w:val="ListParagraph"/>
        <w:ind w:left="403" w:hanging="259"/>
      </w:pPr>
      <w:r>
        <w:rPr>
          <w:rFonts w:ascii="Arial" w:hAnsi="Arial"/>
          <w:b w:val="0"/>
          <w:i w:val="0"/>
          <w:color w:val="1F2430"/>
          <w:sz w:val="19"/>
        </w:rPr>
        <w:t>• Entity teams must agree ownership of mismatch resolution.</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Intercompany Settlements process owner and reviewer roles before design sign-off.</w:t>
      </w:r>
    </w:p>
    <w:p>
      <w:pPr>
        <w:pStyle w:val="ListParagraph"/>
        <w:ind w:left="403" w:hanging="259"/>
      </w:pPr>
      <w:r>
        <w:rPr>
          <w:rFonts w:ascii="Arial" w:hAnsi="Arial"/>
          <w:b w:val="0"/>
          <w:i w:val="0"/>
          <w:color w:val="1F2430"/>
          <w:sz w:val="19"/>
        </w:rPr>
        <w:t>• Validate the required data fields against Oracle NetSuite OneWorld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Intercompany Settlements Requirements Pack</w:t>
    </w:r>
    <w:r>
      <w:rPr>
        <w:rFonts w:ascii="Arial" w:hAnsi="Arial"/>
        <w:b w:val="0"/>
        <w:i w:val="0"/>
        <w:color w:val="6B7280"/>
        <w:sz w:val="16"/>
      </w:rPr>
      <w:tab/>
      <w:t>Summit Group Holdings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