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Inventory Costing</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MapleWorks Components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MapleWorks Components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4</w:t>
            </w:r>
          </w:p>
          <w:p>
            <w:pPr>
              <w:spacing w:after="0"/>
              <w:jc w:val="center"/>
            </w:pPr>
            <w:r>
              <w:rPr>
                <w:rFonts w:ascii="Arial" w:hAnsi="Arial"/>
                <w:b w:val="0"/>
                <w:i w:val="0"/>
                <w:color w:val="6B7280"/>
                <w:sz w:val="14"/>
              </w:rPr>
              <w:t>SKUS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11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MapleWorks Components Ltd needs a structured Inventory Costing requirements pack to reduce rework, clarify control ownership, and make SAP Business One implementation decisions testable. The pack translates inventory valuation differences, cost variance review gaps, and manual landed cost allocation into requirements for workflow, data, controls, reporting, audit trail, and UAT. It is sized for 4 warehouses, 2,800 SKUs, and monthly standard cost review and frames the control design, reporting outputs, and acceptance criteria needed within a target delivery window of 11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Inventory Costing process relies on ERP inventory module, warehouse adjustment logs, and costing spreadsheets. That creates avoidable risk around inventory valuation differences, cost variance review gaps, and manual landed cost allocation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Inventory valuation, cost updates, landed cost allocation, variance review, stock adjustments, and GL reconciliation; Visibility of standard cost, actual cost, purchase price variance, production variance, and inventory ageing; and Controls over costing method changes, manual adjustments, and reconciliation sign-off. The design will support light manufacturing business users on SAP Business One, with emphasis on cost change approvals, stock adjustment controls, and valuation audit evidence.</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Inventory Costing requirements for the agreed light manufacturing business process.</w:t>
            </w:r>
          </w:p>
          <w:p>
            <w:pPr>
              <w:spacing w:after="70"/>
            </w:pPr>
            <w:r>
              <w:rPr>
                <w:rFonts w:ascii="Arial" w:hAnsi="Arial"/>
                <w:b w:val="0"/>
                <w:i w:val="0"/>
                <w:color w:val="1F2430"/>
                <w:sz w:val="19"/>
              </w:rPr>
              <w:t>• Workflow, data, controls, reporting, audit trail, and UAT requirements for SAP Business One.</w:t>
            </w:r>
          </w:p>
          <w:p>
            <w:pPr>
              <w:spacing w:after="70"/>
            </w:pPr>
            <w:r>
              <w:rPr>
                <w:rFonts w:ascii="Arial" w:hAnsi="Arial"/>
                <w:b w:val="0"/>
                <w:i w:val="0"/>
                <w:color w:val="1F2430"/>
                <w:sz w:val="19"/>
              </w:rPr>
              <w:t>• Process pain points covering inventory valuation differences, cost variance review gaps, and manual landed cost allocation.</w:t>
            </w:r>
          </w:p>
          <w:p>
            <w:pPr>
              <w:spacing w:after="70"/>
            </w:pPr>
            <w:r>
              <w:rPr>
                <w:rFonts w:ascii="Arial" w:hAnsi="Arial"/>
                <w:b w:val="0"/>
                <w:i w:val="0"/>
                <w:color w:val="1F2430"/>
                <w:sz w:val="19"/>
              </w:rPr>
              <w:t>• Reporting requirement: Inventory valuation, cost variance, landed cost, and subledger-to-GL summary.</w:t>
            </w:r>
          </w:p>
          <w:p>
            <w:pPr>
              <w:spacing w:after="70"/>
            </w:pPr>
            <w:r>
              <w:rPr>
                <w:rFonts w:ascii="Arial" w:hAnsi="Arial"/>
                <w:b w:val="0"/>
                <w:i w:val="0"/>
                <w:color w:val="1F2430"/>
                <w:sz w:val="19"/>
              </w:rPr>
              <w:t>• Implementation window and readiness assumptions for the 11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Inventory Costing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Costing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SKU, warehouse, quantity, unit cost, valuation method, cost version, and inventory value.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Reconcile inventory subledger balances to GL inventory control accounts by period and location.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standard cost updates with effective date, reason, requester, reviewer, and approval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Allocate landed costs using approved allocation basis and link charges to receipt or shipment references.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Identify purchase price variance, production variance, and manual cost adjustments by materiality threshold.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Route stock adjustments and write-downs for approval before posting.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inventory valuation reports by SKU, warehouse, ageing bucket, cost method, and variance category.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costing assumptions and supporting evidence for finance review.</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SKU/item ID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Warehouse/location</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Quantity on hand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Unit cost</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Valuation method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Landed cost reference</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control account</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Cost variance reason code</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Standard cost changes require approval before effective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Stock adjustments and write-downs require reason codes and reviewer sign-off.</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subledger-to-GL differences over threshold require owner assignment.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Landed cost allocation basis must be approved and retained.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Costing method changes require finance controller approval.</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Inventory valuation, cost variance, landed cost, and subledger-to-GL summary.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Inventory Costing.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cost version changes with old value, new value, requester, approver, and effective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stock adjustment creation, approval, posting, and reversal history.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landed cost allocation inputs, basis, reviewer, and timestamp.</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subledger-to-GL reconciliation owner/status history.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valuation report export and sign-off evidence by period.</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Cost Accountant</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Cost variance exceptions by SKU so material valuation issues are reviewed.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Manager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subledger-to-GL reconciliation so balance sheet inventory is supported.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operations manager, I want stock adjustments routed for approval so that shrinkage and corrections are controlled.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Controller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Standard cost change history so margin movements can be explained.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auditor, I want landed cost allocation evidence so that inventory valuation assumptions are traceable.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Standard cost is changed for a material SKU.</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Old value, new value, reason, requester, approver, and effective date are recorded.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subledger does not match the GL control account.</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 reconciliation difference is created with owner, amount, and reason fields.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Landed cost allocation is posted.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Allocation basis, source charge, receipt reference, and reviewer evidence are stored.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Stock adjustment exceeds approval threshold.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Posting is blocked until reviewer sign-off is captured.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Cost variance exceeds materiality threshold.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variance appears in the costing exception report with owner and category.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Inventory valuation pack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pack includes valuation, variances, adjustments, landed costs, and GL reconciliation status.</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Inventory valuation reports show SKU, location, quantity, unit cost, value, and cost method.</w:t>
      </w:r>
    </w:p>
    <w:p>
      <w:pPr>
        <w:pStyle w:val="ListParagraph"/>
        <w:ind w:left="403" w:hanging="259"/>
      </w:pPr>
      <w:r>
        <w:rPr>
          <w:rFonts w:ascii="Arial" w:hAnsi="Arial"/>
          <w:b/>
          <w:i w:val="0"/>
          <w:color w:val="1F2430"/>
          <w:sz w:val="19"/>
        </w:rPr>
        <w:t>2. Standard cost changes and costing method changes are approved and auditable.</w:t>
      </w:r>
    </w:p>
    <w:p>
      <w:pPr>
        <w:pStyle w:val="ListParagraph"/>
        <w:ind w:left="403" w:hanging="259"/>
      </w:pPr>
      <w:r>
        <w:rPr>
          <w:rFonts w:ascii="Arial" w:hAnsi="Arial"/>
          <w:b/>
          <w:i w:val="0"/>
          <w:color w:val="1F2430"/>
          <w:sz w:val="19"/>
        </w:rPr>
        <w:t>3. Stock adjustments cannot post without reason code and approval where required.</w:t>
      </w:r>
    </w:p>
    <w:p>
      <w:pPr>
        <w:pStyle w:val="ListParagraph"/>
        <w:ind w:left="403" w:hanging="259"/>
      </w:pPr>
      <w:r>
        <w:rPr>
          <w:rFonts w:ascii="Arial" w:hAnsi="Arial"/>
          <w:b/>
          <w:i w:val="0"/>
          <w:color w:val="1F2430"/>
          <w:sz w:val="19"/>
        </w:rPr>
        <w:t>4. Subledger-to-GL differences are owner-assigned and visible by period.</w:t>
      </w:r>
    </w:p>
    <w:p>
      <w:pPr>
        <w:pStyle w:val="ListParagraph"/>
        <w:ind w:left="403" w:hanging="259"/>
      </w:pPr>
      <w:r>
        <w:rPr>
          <w:rFonts w:ascii="Arial" w:hAnsi="Arial"/>
          <w:b/>
          <w:i w:val="0"/>
          <w:color w:val="1F2430"/>
          <w:sz w:val="19"/>
        </w:rPr>
        <w:t>5. Landed cost allocation evidence is retained with basis and reviewer sign-off.</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Item master data and warehouse locations may need cleanup before reliable valuation reporting.</w:t>
      </w:r>
    </w:p>
    <w:p>
      <w:pPr>
        <w:pStyle w:val="ListParagraph"/>
        <w:ind w:left="403" w:hanging="259"/>
      </w:pPr>
      <w:r>
        <w:rPr>
          <w:rFonts w:ascii="Arial" w:hAnsi="Arial"/>
          <w:b w:val="0"/>
          <w:i w:val="0"/>
          <w:color w:val="1F2430"/>
          <w:sz w:val="19"/>
        </w:rPr>
        <w:t>• Approved costing method and standard cost policy must be confirmed.</w:t>
      </w:r>
    </w:p>
    <w:p>
      <w:pPr>
        <w:pStyle w:val="ListParagraph"/>
        <w:ind w:left="403" w:hanging="259"/>
      </w:pPr>
      <w:r>
        <w:rPr>
          <w:rFonts w:ascii="Arial" w:hAnsi="Arial"/>
          <w:b w:val="0"/>
          <w:i w:val="0"/>
          <w:color w:val="1F2430"/>
          <w:sz w:val="19"/>
        </w:rPr>
        <w:t>• Landed cost source data may depend on procurement and logistics integration.</w:t>
      </w:r>
    </w:p>
    <w:p>
      <w:pPr>
        <w:pStyle w:val="ListParagraph"/>
        <w:ind w:left="403" w:hanging="259"/>
      </w:pPr>
      <w:r>
        <w:rPr>
          <w:rFonts w:ascii="Arial" w:hAnsi="Arial"/>
          <w:b w:val="0"/>
          <w:i w:val="0"/>
          <w:color w:val="1F2430"/>
          <w:sz w:val="19"/>
        </w:rPr>
        <w:t>• Historic stock adjustments may require review before migration.</w:t>
      </w:r>
    </w:p>
    <w:p>
      <w:pPr>
        <w:pStyle w:val="ListParagraph"/>
        <w:ind w:left="403" w:hanging="259"/>
      </w:pPr>
      <w:r>
        <w:rPr>
          <w:rFonts w:ascii="Arial" w:hAnsi="Arial"/>
          <w:b w:val="0"/>
          <w:i w:val="0"/>
          <w:color w:val="1F2430"/>
          <w:sz w:val="19"/>
        </w:rPr>
        <w:t>• Operations and finance ownership of variance resolution must be agreed.</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Inventory Costing process owner and reviewer roles before design sign-off.</w:t>
      </w:r>
    </w:p>
    <w:p>
      <w:pPr>
        <w:pStyle w:val="ListParagraph"/>
        <w:ind w:left="403" w:hanging="259"/>
      </w:pPr>
      <w:r>
        <w:rPr>
          <w:rFonts w:ascii="Arial" w:hAnsi="Arial"/>
          <w:b w:val="0"/>
          <w:i w:val="0"/>
          <w:color w:val="1F2430"/>
          <w:sz w:val="19"/>
        </w:rPr>
        <w:t>• Validate the required data fields against SAP Business One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Inventory Costing Requirements Pack</w:t>
    </w:r>
    <w:r>
      <w:rPr>
        <w:rFonts w:ascii="Arial" w:hAnsi="Arial"/>
        <w:b w:val="0"/>
        <w:i w:val="0"/>
        <w:color w:val="6B7280"/>
        <w:sz w:val="16"/>
      </w:rPr>
      <w:tab/>
      <w:t>MapleWorks Components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