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360"/>
      </w:tblGrid>
      <w:tr>
        <w:tc>
          <w:tcPr>
            <w:tcW w:type="dxa" w:w="9360"/>
            <w:shd w:fill="16243D"/>
            <w:tcMar>
              <w:top w:w="560" w:type="dxa"/>
              <w:bottom w:w="560" w:type="dxa"/>
              <w:left w:w="420" w:type="dxa"/>
              <w:right w:w="420" w:type="dxa"/>
            </w:tcMar>
          </w:tcPr>
          <w:p>
            <w:pPr>
              <w:spacing w:after="120"/>
            </w:pPr>
            <w:r/>
            <w:r>
              <w:rPr>
                <w:rFonts w:ascii="Arial" w:hAnsi="Arial"/>
                <w:b/>
                <w:i w:val="0"/>
                <w:color w:val="C9A24B"/>
                <w:sz w:val="16"/>
              </w:rPr>
              <w:t>FINANCE · ERP IMPLEMENTATION</w:t>
            </w:r>
          </w:p>
          <w:p>
            <w:pPr>
              <w:spacing w:after="40"/>
            </w:pPr>
            <w:r>
              <w:rPr>
                <w:rFonts w:ascii="Arial" w:hAnsi="Arial"/>
                <w:b/>
                <w:i w:val="0"/>
                <w:color w:val="FFFFFF"/>
                <w:sz w:val="56"/>
              </w:rPr>
              <w:t>Month-end Close</w:t>
            </w:r>
          </w:p>
          <w:p>
            <w:pPr>
              <w:spacing w:after="200"/>
            </w:pPr>
            <w:r>
              <w:rPr>
                <w:rFonts w:ascii="Arial" w:hAnsi="Arial"/>
                <w:b/>
                <w:i w:val="0"/>
                <w:color w:val="C7D3E3"/>
                <w:sz w:val="56"/>
              </w:rPr>
              <w:t>Requirements Pack</w:t>
            </w:r>
          </w:p>
          <w:p>
            <w:pPr>
              <w:spacing w:after="160"/>
              <w:pBdr>
                <w:bottom w:val="single" w:sz="14" w:space="4" w:color="C9A24B"/>
              </w:pBdr>
            </w:pPr>
          </w:p>
          <w:p>
            <w:r>
              <w:rPr>
                <w:rFonts w:ascii="Arial" w:hAnsi="Arial"/>
                <w:b w:val="0"/>
                <w:i w:val="0"/>
                <w:color w:val="9DB0CC"/>
                <w:sz w:val="20"/>
              </w:rPr>
              <w:t xml:space="preserve">Prepared for  </w:t>
            </w:r>
            <w:r>
              <w:rPr>
                <w:rFonts w:ascii="Arial" w:hAnsi="Arial"/>
                <w:b/>
                <w:i w:val="0"/>
                <w:color w:val="FFFFFF"/>
                <w:sz w:val="22"/>
              </w:rPr>
              <w:t>Cedar Grove Retail Ltd</w:t>
            </w:r>
          </w:p>
        </w:tc>
      </w:tr>
    </w:tbl>
    <w:p>
      <w:pPr>
        <w:spacing w:after="140"/>
      </w:pP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340"/>
        <w:gridCol w:w="2340"/>
        <w:gridCol w:w="2340"/>
        <w:gridCol w:w="2340"/>
      </w:tblGrid>
      <w:tr>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PREPARED BY</w:t>
            </w:r>
          </w:p>
          <w:p>
            <w:pPr>
              <w:spacing w:after="0"/>
            </w:pPr>
            <w:r>
              <w:rPr>
                <w:rFonts w:ascii="Arial" w:hAnsi="Arial"/>
                <w:b/>
                <w:i w:val="0"/>
                <w:color w:val="16243D"/>
                <w:sz w:val="19"/>
              </w:rPr>
              <w:t>Chez Solutions</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PREPARED FOR</w:t>
            </w:r>
          </w:p>
          <w:p>
            <w:pPr>
              <w:spacing w:after="0"/>
            </w:pPr>
            <w:r>
              <w:rPr>
                <w:rFonts w:ascii="Arial" w:hAnsi="Arial"/>
                <w:b/>
                <w:i w:val="0"/>
                <w:color w:val="16243D"/>
                <w:sz w:val="19"/>
              </w:rPr>
              <w:t>Cedar Grove Retail Ltd</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DATE</w:t>
            </w:r>
          </w:p>
          <w:p>
            <w:pPr>
              <w:spacing w:after="0"/>
            </w:pPr>
            <w:r>
              <w:rPr>
                <w:rFonts w:ascii="Arial" w:hAnsi="Arial"/>
                <w:b/>
                <w:i w:val="0"/>
                <w:color w:val="16243D"/>
                <w:sz w:val="19"/>
              </w:rPr>
              <w:t>June 2026</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STATUS</w:t>
            </w:r>
          </w:p>
          <w:p>
            <w:pPr>
              <w:spacing w:after="0"/>
            </w:pPr>
            <w:r>
              <w:rPr>
                <w:rFonts w:ascii="Arial" w:hAnsi="Arial"/>
                <w:b/>
                <w:i w:val="0"/>
                <w:color w:val="16243D"/>
                <w:sz w:val="19"/>
              </w:rPr>
              <w:t>Draft for Review</w:t>
            </w:r>
          </w:p>
        </w:tc>
      </w:tr>
    </w:tbl>
    <w:p>
      <w:pPr>
        <w:spacing w:after="160"/>
      </w:pPr>
    </w:p>
    <w:tbl>
      <w:tblPr>
        <w:tblW w:type="dxa" w:w="9360"/>
        <w:tblLayout w:type="fixed"/>
        <w:tblLook w:firstColumn="1" w:firstRow="1" w:lastColumn="0" w:lastRow="0" w:noHBand="0" w:noVBand="1" w:val="04A0"/>
        <w:tblBorders>
          <w:top w:val="single" w:sz="8" w:space="0" w:color="2E5C8A"/>
          <w:left w:val="single" w:sz="8" w:space="0" w:color="2E5C8A"/>
          <w:bottom w:val="single" w:sz="8" w:space="0" w:color="2E5C8A"/>
          <w:right w:val="single" w:sz="8" w:space="0" w:color="2E5C8A"/>
          <w:insideH w:val="single" w:sz="4" w:space="0" w:color="D9DEE6"/>
          <w:insideV w:val="single" w:sz="4" w:space="0" w:color="D9DEE6"/>
        </w:tblBorders>
      </w:tblPr>
      <w:tblGrid>
        <w:gridCol w:w="1872"/>
        <w:gridCol w:w="1872"/>
        <w:gridCol w:w="1872"/>
        <w:gridCol w:w="1872"/>
        <w:gridCol w:w="1872"/>
      </w:tblGrid>
      <w:tr>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125</w:t>
            </w:r>
          </w:p>
          <w:p>
            <w:pPr>
              <w:spacing w:after="0"/>
              <w:jc w:val="center"/>
            </w:pPr>
            <w:r>
              <w:rPr>
                <w:rFonts w:ascii="Arial" w:hAnsi="Arial"/>
                <w:b w:val="0"/>
                <w:i w:val="0"/>
                <w:color w:val="6B7280"/>
                <w:sz w:val="14"/>
              </w:rPr>
              <w:t>CLOSE TASKS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12 wks</w:t>
            </w:r>
          </w:p>
          <w:p>
            <w:pPr>
              <w:spacing w:after="0"/>
              <w:jc w:val="center"/>
            </w:pPr>
            <w:r>
              <w:rPr>
                <w:rFonts w:ascii="Arial" w:hAnsi="Arial"/>
                <w:b w:val="0"/>
                <w:i w:val="0"/>
                <w:color w:val="6B7280"/>
                <w:sz w:val="14"/>
              </w:rPr>
              <w:t>DELIVERY WINDOW</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8</w:t>
            </w:r>
          </w:p>
          <w:p>
            <w:pPr>
              <w:spacing w:after="0"/>
              <w:jc w:val="center"/>
            </w:pPr>
            <w:r>
              <w:rPr>
                <w:rFonts w:ascii="Arial" w:hAnsi="Arial"/>
                <w:b w:val="0"/>
                <w:i w:val="0"/>
                <w:color w:val="6B7280"/>
                <w:sz w:val="14"/>
              </w:rPr>
              <w:t>FUNCTIONAL REQS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5</w:t>
            </w:r>
          </w:p>
          <w:p>
            <w:pPr>
              <w:spacing w:after="0"/>
              <w:jc w:val="center"/>
            </w:pPr>
            <w:r>
              <w:rPr>
                <w:rFonts w:ascii="Arial" w:hAnsi="Arial"/>
                <w:b w:val="0"/>
                <w:i w:val="0"/>
                <w:color w:val="6B7280"/>
                <w:sz w:val="14"/>
              </w:rPr>
              <w:t>KEY CONTROLS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6</w:t>
            </w:r>
          </w:p>
          <w:p>
            <w:pPr>
              <w:spacing w:after="0"/>
              <w:jc w:val="center"/>
            </w:pPr>
            <w:r>
              <w:rPr>
                <w:rFonts w:ascii="Arial" w:hAnsi="Arial"/>
                <w:b w:val="0"/>
                <w:i w:val="0"/>
                <w:color w:val="6B7280"/>
                <w:sz w:val="14"/>
              </w:rPr>
              <w:t>UAT CASES</w:t>
            </w:r>
          </w:p>
        </w:tc>
      </w:tr>
    </w:tbl>
    <w:p>
      <w:pPr>
        <w:spacing w:before="260" w:after="60"/>
      </w:pPr>
      <w:r>
        <w:rPr>
          <w:rFonts w:ascii="Arial" w:hAnsi="Arial"/>
          <w:b/>
          <w:i w:val="0"/>
          <w:color w:val="2E5C8A"/>
          <w:sz w:val="16"/>
        </w:rPr>
        <w:t>PURPOSE</w:t>
      </w:r>
    </w:p>
    <w:p>
      <w:pPr>
        <w:spacing w:after="0" w:line="276" w:lineRule="auto"/>
      </w:pPr>
      <w:r>
        <w:rPr>
          <w:rFonts w:ascii="Arial" w:hAnsi="Arial"/>
          <w:b w:val="0"/>
          <w:i/>
          <w:color w:val="3A4253"/>
          <w:sz w:val="22"/>
        </w:rPr>
        <w:t>Translate finance process pain points into implementation-ready ERP requirements — covering workflow, data, controls, reporting, audit trail, and UAT coverage.</w:t>
      </w:r>
    </w:p>
    <w:p>
      <w:pPr>
        <w:pageBreakBefore/>
        <w:spacing w:after="60"/>
      </w:pPr>
      <w:r>
        <w:rPr>
          <w:rFonts w:ascii="Arial" w:hAnsi="Arial"/>
          <w:b/>
          <w:i w:val="0"/>
          <w:color w:val="16243D"/>
          <w:sz w:val="36"/>
        </w:rPr>
        <w:t>Contents</w:t>
      </w:r>
    </w:p>
    <w:p>
      <w:pPr>
        <w:spacing w:after="260"/>
        <w:pBdr>
          <w:bottom w:val="single" w:sz="12" w:space="4" w:color="C9A24B"/>
        </w:pBdr>
      </w:pP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
        <w:gridCol w:w="7880"/>
        <w:gridCol w:w="760"/>
      </w:tblGrid>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01</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Executive Summary</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02</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Business Problem</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03</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Process Scope</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04</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Scope Boundaries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05</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Stakeholders and Roles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4</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06</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Functional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4</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07</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Data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08</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Controls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09</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Reporting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10</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Audit Trail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11</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User Stories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6</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12</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UAT Test Cases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6</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13</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Acceptance Criteria</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14</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Implementation Risks and Dependencies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15</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Implementation Notes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bl>
    <w:p>
      <w:pPr>
        <w:pStyle w:val="Heading1"/>
        <w:keepNext/>
        <w:pageBreakBefore/>
        <w:spacing w:before="360" w:after="160"/>
        <w:pBdr>
          <w:bottom w:val="single" w:sz="10" w:space="4" w:color="2E5C8A"/>
        </w:pBdr>
      </w:pPr>
      <w:r>
        <w:rPr>
          <w:rFonts w:ascii="Arial" w:hAnsi="Arial"/>
          <w:b/>
          <w:i w:val="0"/>
          <w:color w:val="C9A24B"/>
          <w:sz w:val="28"/>
        </w:rPr>
        <w:t xml:space="preserve">01  </w:t>
      </w:r>
      <w:r>
        <w:rPr>
          <w:rFonts w:ascii="Arial" w:hAnsi="Arial"/>
          <w:b/>
          <w:i w:val="0"/>
          <w:color w:val="16243D"/>
          <w:sz w:val="28"/>
        </w:rPr>
        <w:t>Executive Summary</w:t>
      </w:r>
    </w:p>
    <w:p>
      <w:r>
        <w:t>Cedar Grove Retail Ltd needs a structured Month-end Close requirements pack to reduce rework, clarify control ownership, and make Microsoft Dynamics 365 Finance implementation decisions testable. The pack translates late close tasks, manual close status tracking, and missing reconciliation evidence into requirements for workflow, data, controls, reporting, audit trail, and UAT. It is sized for 125 close tasks, 70 reconciliations, and 220 journals per period and frames the control design, reporting outputs, and acceptance criteria needed within a target delivery window of 12 weeks.</w:t>
      </w:r>
    </w:p>
    <w:p>
      <w:pPr>
        <w:pStyle w:val="Heading1"/>
        <w:keepNext/>
        <w:spacing w:before="360" w:after="160"/>
        <w:pBdr>
          <w:bottom w:val="single" w:sz="10" w:space="4" w:color="2E5C8A"/>
        </w:pBdr>
      </w:pPr>
      <w:r>
        <w:rPr>
          <w:rFonts w:ascii="Arial" w:hAnsi="Arial"/>
          <w:b/>
          <w:i w:val="0"/>
          <w:color w:val="C9A24B"/>
          <w:sz w:val="28"/>
        </w:rPr>
        <w:t xml:space="preserve">02  </w:t>
      </w:r>
      <w:r>
        <w:rPr>
          <w:rFonts w:ascii="Arial" w:hAnsi="Arial"/>
          <w:b/>
          <w:i w:val="0"/>
          <w:color w:val="16243D"/>
          <w:sz w:val="28"/>
        </w:rPr>
        <w:t>Business Problem</w:t>
      </w:r>
    </w:p>
    <w:p>
      <w:r>
        <w:t>The current Month-end Close process relies on Close checklist spreadsheet, ERP journals, and shared evidence folders. That creates avoidable risk around late close tasks, manual close status tracking, and missing reconciliation evidence and leaves finance without a consistent requirements baseline for process design, configuration, controls, reporting, and UAT. The implementation needs clearer ownership, defined data fields, control evidence, and acceptance criteria before ERP optimisation or automation can be delivered with confidence.</w:t>
      </w:r>
    </w:p>
    <w:p>
      <w:pPr>
        <w:pStyle w:val="Heading1"/>
        <w:keepNext/>
        <w:spacing w:before="360" w:after="160"/>
        <w:pBdr>
          <w:bottom w:val="single" w:sz="10" w:space="4" w:color="2E5C8A"/>
        </w:pBdr>
      </w:pPr>
      <w:r>
        <w:rPr>
          <w:rFonts w:ascii="Arial" w:hAnsi="Arial"/>
          <w:b/>
          <w:i w:val="0"/>
          <w:color w:val="C9A24B"/>
          <w:sz w:val="28"/>
        </w:rPr>
        <w:t xml:space="preserve">03  </w:t>
      </w:r>
      <w:r>
        <w:rPr>
          <w:rFonts w:ascii="Arial" w:hAnsi="Arial"/>
          <w:b/>
          <w:i w:val="0"/>
          <w:color w:val="16243D"/>
          <w:sz w:val="28"/>
        </w:rPr>
        <w:t>Process Scope</w:t>
      </w:r>
    </w:p>
    <w:p>
      <w:r>
        <w:t>The future-state scope covers Close task calendar, preparer/reviewer ownership, journal approval, reconciliation completion, and close reporting; Daily close status visibility with overdue task escalation and dependency tracking; and Evidence pack for finance leadership, internal controls, and audit review. The design will support multi-entity retail group users on Microsoft Dynamics 365 Finance, with emphasis on close evidence, journal approvals, reviewer sign-off, and period completion controls.</w:t>
      </w:r>
    </w:p>
    <w:p>
      <w:pPr>
        <w:pStyle w:val="Heading1"/>
        <w:keepNext/>
        <w:spacing w:before="360" w:after="160"/>
        <w:pBdr>
          <w:bottom w:val="single" w:sz="10" w:space="4" w:color="2E5C8A"/>
        </w:pBdr>
      </w:pPr>
      <w:r>
        <w:rPr>
          <w:rFonts w:ascii="Arial" w:hAnsi="Arial"/>
          <w:b/>
          <w:i w:val="0"/>
          <w:color w:val="C9A24B"/>
          <w:sz w:val="28"/>
        </w:rPr>
        <w:t xml:space="preserve">04  </w:t>
      </w:r>
      <w:r>
        <w:rPr>
          <w:rFonts w:ascii="Arial" w:hAnsi="Arial"/>
          <w:b/>
          <w:i w:val="0"/>
          <w:color w:val="16243D"/>
          <w:sz w:val="28"/>
        </w:rPr>
        <w:t>Scope Boundaries</w:t>
      </w:r>
    </w:p>
    <w:p>
      <w:r>
        <w:t>The boundaries below set expectations for this phase. Items out of scope can be re-planned as separate, approved phases.</w:t>
      </w: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4680"/>
            <w:shd w:fill="E7F1EC"/>
            <w:tcMar>
              <w:top w:w="120" w:type="dxa"/>
              <w:bottom w:w="130" w:type="dxa"/>
              <w:left w:w="160" w:type="dxa"/>
              <w:right w:w="160" w:type="dxa"/>
            </w:tcMar>
            <w:tcBorders>
              <w:top w:val="single" w:sz="8" w:space="0" w:color="1F7A4D"/>
              <w:bottom w:val="single" w:sz="4" w:space="0" w:color="D9DEE6"/>
              <w:left w:val="single" w:sz="4" w:space="0" w:color="D9DEE6"/>
              <w:right w:val="single" w:sz="4" w:space="0" w:color="D9DEE6"/>
            </w:tcBorders>
            <w:vAlign w:val="top"/>
          </w:tcPr>
          <w:p>
            <w:pPr>
              <w:shd w:fill="1F7A4D"/>
              <w:spacing w:after="100"/>
            </w:pPr>
            <w:r/>
            <w:r>
              <w:rPr>
                <w:rFonts w:ascii="Arial" w:hAnsi="Arial"/>
                <w:b/>
                <w:i w:val="0"/>
                <w:color w:val="FFFFFF"/>
                <w:sz w:val="18"/>
              </w:rPr>
              <w:t>IN SCOPE</w:t>
            </w:r>
          </w:p>
          <w:p>
            <w:pPr>
              <w:spacing w:after="70"/>
            </w:pPr>
            <w:r>
              <w:rPr>
                <w:rFonts w:ascii="Arial" w:hAnsi="Arial"/>
                <w:b w:val="0"/>
                <w:i w:val="0"/>
                <w:color w:val="1F2430"/>
                <w:sz w:val="19"/>
              </w:rPr>
              <w:t>• Month-end Close requirements for the agreed multi-entity retail group process.</w:t>
            </w:r>
          </w:p>
          <w:p>
            <w:pPr>
              <w:spacing w:after="70"/>
            </w:pPr>
            <w:r>
              <w:rPr>
                <w:rFonts w:ascii="Arial" w:hAnsi="Arial"/>
                <w:b w:val="0"/>
                <w:i w:val="0"/>
                <w:color w:val="1F2430"/>
                <w:sz w:val="19"/>
              </w:rPr>
              <w:t>• Workflow, data, controls, reporting, audit trail, and UAT requirements for Microsoft Dynamics 365 Finance.</w:t>
            </w:r>
          </w:p>
          <w:p>
            <w:pPr>
              <w:spacing w:after="70"/>
            </w:pPr>
            <w:r>
              <w:rPr>
                <w:rFonts w:ascii="Arial" w:hAnsi="Arial"/>
                <w:b w:val="0"/>
                <w:i w:val="0"/>
                <w:color w:val="1F2430"/>
                <w:sz w:val="19"/>
              </w:rPr>
              <w:t>• Process pain points covering late close tasks, manual close status tracking, and missing reconciliation evidence.</w:t>
            </w:r>
          </w:p>
          <w:p>
            <w:pPr>
              <w:spacing w:after="70"/>
            </w:pPr>
            <w:r>
              <w:rPr>
                <w:rFonts w:ascii="Arial" w:hAnsi="Arial"/>
                <w:b w:val="0"/>
                <w:i w:val="0"/>
                <w:color w:val="1F2430"/>
                <w:sz w:val="19"/>
              </w:rPr>
              <w:t>• Reporting requirement: Close task status, overdue items, reconciliation risk, and journal approval dashboard.</w:t>
            </w:r>
          </w:p>
          <w:p>
            <w:pPr>
              <w:spacing w:after="70"/>
            </w:pPr>
            <w:r>
              <w:rPr>
                <w:rFonts w:ascii="Arial" w:hAnsi="Arial"/>
                <w:b w:val="0"/>
                <w:i w:val="0"/>
                <w:color w:val="1F2430"/>
                <w:sz w:val="19"/>
              </w:rPr>
              <w:t>• Implementation window and readiness assumptions for the 12 weeks target window.</w:t>
            </w:r>
          </w:p>
        </w:tc>
        <w:tc>
          <w:tcPr>
            <w:tcW w:type="dxa" w:w="4680"/>
            <w:shd w:fill="F6EBE8"/>
            <w:tcMar>
              <w:top w:w="120" w:type="dxa"/>
              <w:bottom w:w="130" w:type="dxa"/>
              <w:left w:w="160" w:type="dxa"/>
              <w:right w:w="160" w:type="dxa"/>
            </w:tcMar>
            <w:tcBorders>
              <w:top w:val="single" w:sz="8" w:space="0" w:color="9A3B2E"/>
              <w:bottom w:val="single" w:sz="4" w:space="0" w:color="D9DEE6"/>
              <w:left w:val="single" w:sz="4" w:space="0" w:color="D9DEE6"/>
              <w:right w:val="single" w:sz="4" w:space="0" w:color="D9DEE6"/>
            </w:tcBorders>
            <w:vAlign w:val="top"/>
          </w:tcPr>
          <w:p>
            <w:pPr>
              <w:shd w:fill="9A3B2E"/>
              <w:spacing w:after="100"/>
            </w:pPr>
            <w:r/>
            <w:r>
              <w:rPr>
                <w:rFonts w:ascii="Arial" w:hAnsi="Arial"/>
                <w:b/>
                <w:i w:val="0"/>
                <w:color w:val="FFFFFF"/>
                <w:sz w:val="18"/>
              </w:rPr>
              <w:t>OUT OF SCOPE</w:t>
            </w:r>
          </w:p>
          <w:p>
            <w:pPr>
              <w:spacing w:after="70"/>
            </w:pPr>
            <w:r>
              <w:rPr>
                <w:rFonts w:ascii="Arial" w:hAnsi="Arial"/>
                <w:b w:val="0"/>
                <w:i w:val="0"/>
                <w:color w:val="1F2430"/>
                <w:sz w:val="19"/>
              </w:rPr>
              <w:t>• Live system configuration, data migration execution, and production cutover.</w:t>
            </w:r>
          </w:p>
          <w:p>
            <w:pPr>
              <w:spacing w:after="70"/>
            </w:pPr>
            <w:r>
              <w:rPr>
                <w:rFonts w:ascii="Arial" w:hAnsi="Arial"/>
                <w:b w:val="0"/>
                <w:i w:val="0"/>
                <w:color w:val="1F2430"/>
                <w:sz w:val="19"/>
              </w:rPr>
              <w:t>• Custom integration build or external workflow automation.</w:t>
            </w:r>
          </w:p>
          <w:p>
            <w:pPr>
              <w:spacing w:after="70"/>
            </w:pPr>
            <w:r>
              <w:rPr>
                <w:rFonts w:ascii="Arial" w:hAnsi="Arial"/>
                <w:b w:val="0"/>
                <w:i w:val="0"/>
                <w:color w:val="1F2430"/>
                <w:sz w:val="19"/>
              </w:rPr>
              <w:t>• Legal, tax, HR, or statutory sign-off outside the finance process owner remit.</w:t>
            </w:r>
          </w:p>
          <w:p>
            <w:pPr>
              <w:spacing w:after="70"/>
            </w:pPr>
            <w:r>
              <w:rPr>
                <w:rFonts w:ascii="Arial" w:hAnsi="Arial"/>
                <w:b w:val="0"/>
                <w:i w:val="0"/>
                <w:color w:val="1F2430"/>
                <w:sz w:val="19"/>
              </w:rPr>
              <w:t>• Direct processing of operational production data.</w:t>
            </w:r>
          </w:p>
          <w:p>
            <w:pPr>
              <w:spacing w:after="70"/>
            </w:pPr>
            <w:r>
              <w:rPr>
                <w:rFonts w:ascii="Arial" w:hAnsi="Arial"/>
                <w:b w:val="0"/>
                <w:i w:val="0"/>
                <w:color w:val="1F2430"/>
                <w:sz w:val="19"/>
              </w:rPr>
              <w:t>• Process areas outside Month-end Close unless approved as a separate phase.</w:t>
            </w:r>
          </w:p>
        </w:tc>
      </w:tr>
    </w:tbl>
    <w:p>
      <w:pPr>
        <w:pStyle w:val="Heading1"/>
        <w:keepNext/>
        <w:spacing w:before="360" w:after="160"/>
        <w:pBdr>
          <w:bottom w:val="single" w:sz="10" w:space="4" w:color="2E5C8A"/>
        </w:pBdr>
      </w:pPr>
      <w:r>
        <w:rPr>
          <w:rFonts w:ascii="Arial" w:hAnsi="Arial"/>
          <w:b/>
          <w:i w:val="0"/>
          <w:color w:val="C9A24B"/>
          <w:sz w:val="28"/>
        </w:rPr>
        <w:t xml:space="preserve">05  </w:t>
      </w:r>
      <w:r>
        <w:rPr>
          <w:rFonts w:ascii="Arial" w:hAnsi="Arial"/>
          <w:b/>
          <w:i w:val="0"/>
          <w:color w:val="16243D"/>
          <w:sz w:val="28"/>
        </w:rPr>
        <w:t>Stakeholders and Roles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3000"/>
        <w:gridCol w:w="6360"/>
      </w:tblGrid>
      <w:tr>
        <w:tc>
          <w:tcPr>
            <w:tcW w:type="dxa" w:w="3000"/>
            <w:shd w:fill="16243D"/>
            <w:tcMar>
              <w:top w:w="70" w:type="dxa"/>
              <w:bottom w:w="70" w:type="dxa"/>
              <w:left w:w="130" w:type="dxa"/>
              <w:right w:w="130" w:type="dxa"/>
            </w:tcMar>
          </w:tcPr>
          <w:p>
            <w:pPr>
              <w:spacing w:after="0"/>
            </w:pPr>
            <w:r/>
            <w:r>
              <w:rPr>
                <w:rFonts w:ascii="Arial" w:hAnsi="Arial"/>
                <w:b/>
                <w:i w:val="0"/>
                <w:color w:val="FFFFFF"/>
                <w:sz w:val="16"/>
              </w:rPr>
              <w:t>ROLE</w:t>
            </w:r>
          </w:p>
        </w:tc>
        <w:tc>
          <w:tcPr>
            <w:tcW w:type="dxa" w:w="6360"/>
            <w:shd w:fill="16243D"/>
            <w:tcMar>
              <w:top w:w="70" w:type="dxa"/>
              <w:bottom w:w="70" w:type="dxa"/>
              <w:left w:w="130" w:type="dxa"/>
              <w:right w:w="130" w:type="dxa"/>
            </w:tcMar>
          </w:tcPr>
          <w:p>
            <w:pPr>
              <w:spacing w:after="0"/>
            </w:pPr>
            <w:r/>
            <w:r>
              <w:rPr>
                <w:rFonts w:ascii="Arial" w:hAnsi="Arial"/>
                <w:b/>
                <w:i w:val="0"/>
                <w:color w:val="FFFFFF"/>
                <w:sz w:val="16"/>
              </w:rPr>
              <w:t>RESPONSIBILITY</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Transformation Lead</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accountable for business sign-off and prioritisation.</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Month-end Close process owner</w:t>
            </w:r>
          </w:p>
        </w:tc>
        <w:tc>
          <w:tcPr>
            <w:tcW w:type="dxa" w:w="63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validates workflow scope, controls, and exceptions.</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systems analyst</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translates requirements into configuration and UAT coverage.</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Preparer or operational user</w:t>
            </w:r>
          </w:p>
        </w:tc>
        <w:tc>
          <w:tcPr>
            <w:tcW w:type="dxa" w:w="63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confirms day-to-day inputs, handoffs, and evidence needs.</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Reviewer or controller</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approves control design, reporting outputs, and acceptance criteria.</w:t>
            </w:r>
          </w:p>
        </w:tc>
      </w:tr>
    </w:tbl>
    <w:p>
      <w:pPr>
        <w:pStyle w:val="Heading1"/>
        <w:keepNext/>
        <w:spacing w:before="360" w:after="160"/>
        <w:pBdr>
          <w:bottom w:val="single" w:sz="10" w:space="4" w:color="2E5C8A"/>
        </w:pBdr>
      </w:pPr>
      <w:r>
        <w:rPr>
          <w:rFonts w:ascii="Arial" w:hAnsi="Arial"/>
          <w:b/>
          <w:i w:val="0"/>
          <w:color w:val="C9A24B"/>
          <w:sz w:val="28"/>
        </w:rPr>
        <w:t xml:space="preserve">06  </w:t>
      </w:r>
      <w:r>
        <w:rPr>
          <w:rFonts w:ascii="Arial" w:hAnsi="Arial"/>
          <w:b/>
          <w:i w:val="0"/>
          <w:color w:val="16243D"/>
          <w:sz w:val="28"/>
        </w:rPr>
        <w:t>Functional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Maintain a close calendar with task owner, reviewer, due date, dependency, status, and completion evidence.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Track balance sheet reconciliations by account, preparer, reviewer, risk rating, and sign-off status.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Route manual journals for approval based on journal type, value, and account risk.</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Escalate overdue tasks to close lead and finance controller based on policy thresholds.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Capture close commentary for material movements, open items, and unresolved exceptions.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FR-06</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Lock completed tasks after reviewer sign-off unless reopened through controlled approval.</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FR-07</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Produce a close dashboard showing task completion, late items, high-risk reconciliations, and journal status.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FR-08</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Export a month-end close evidence pack with task, reconciliation, journal, and sign-off details.</w:t>
            </w:r>
          </w:p>
        </w:tc>
      </w:tr>
    </w:tbl>
    <w:p>
      <w:pPr>
        <w:pStyle w:val="Heading1"/>
        <w:keepNext/>
        <w:spacing w:before="360" w:after="160"/>
        <w:pBdr>
          <w:bottom w:val="single" w:sz="10" w:space="4" w:color="2E5C8A"/>
        </w:pBdr>
      </w:pPr>
      <w:r>
        <w:rPr>
          <w:rFonts w:ascii="Arial" w:hAnsi="Arial"/>
          <w:b/>
          <w:i w:val="0"/>
          <w:color w:val="C9A24B"/>
          <w:sz w:val="28"/>
        </w:rPr>
        <w:t xml:space="preserve">07  </w:t>
      </w:r>
      <w:r>
        <w:rPr>
          <w:rFonts w:ascii="Arial" w:hAnsi="Arial"/>
          <w:b/>
          <w:i w:val="0"/>
          <w:color w:val="16243D"/>
          <w:sz w:val="28"/>
        </w:rPr>
        <w:t>Data Requirements</w:t>
      </w:r>
    </w:p>
    <w:p>
      <w:r>
        <w:t>Minimum data fields required for the controls and reporting outputs to operate reliably.</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120"/>
        <w:gridCol w:w="3560"/>
        <w:gridCol w:w="1120"/>
        <w:gridCol w:w="3560"/>
      </w:tblGrid>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DR-01</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Close period</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DR-02</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Close task ID</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DR-03</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Task owner</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DR-04</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Reviewer</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DR-05</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Balance sheet account</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DR-06</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Journal batch reference</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DR-07</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Completion evidence link</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DR-08</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Sign-off timestamp</w:t>
            </w:r>
          </w:p>
        </w:tc>
      </w:tr>
    </w:tbl>
    <w:p>
      <w:pPr>
        <w:pStyle w:val="Heading1"/>
        <w:keepNext/>
        <w:spacing w:before="360" w:after="160"/>
        <w:pBdr>
          <w:bottom w:val="single" w:sz="10" w:space="4" w:color="2E5C8A"/>
        </w:pBdr>
      </w:pPr>
      <w:r>
        <w:rPr>
          <w:rFonts w:ascii="Arial" w:hAnsi="Arial"/>
          <w:b/>
          <w:i w:val="0"/>
          <w:color w:val="C9A24B"/>
          <w:sz w:val="28"/>
        </w:rPr>
        <w:t xml:space="preserve">08  </w:t>
      </w:r>
      <w:r>
        <w:rPr>
          <w:rFonts w:ascii="Arial" w:hAnsi="Arial"/>
          <w:b/>
          <w:i w:val="0"/>
          <w:color w:val="16243D"/>
          <w:sz w:val="28"/>
        </w:rPr>
        <w:t>Controls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CONTROL</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Reviewer sign-off required before high-risk reconciliations are marked complete.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Manual journals require approval before posting to closed periods.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Overdue close tasks escalate based on close calendar thresholds.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Reopened tasks require reason, requester, approver, and timestamp.</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Period close completion requires all mandatory tasks and reconciliations to be signed off.</w:t>
            </w:r>
          </w:p>
        </w:tc>
      </w:tr>
    </w:tbl>
    <w:p>
      <w:pPr>
        <w:pStyle w:val="Heading1"/>
        <w:keepNext/>
        <w:spacing w:before="360" w:after="160"/>
        <w:pBdr>
          <w:bottom w:val="single" w:sz="10" w:space="4" w:color="2E5C8A"/>
        </w:pBdr>
      </w:pPr>
      <w:r>
        <w:rPr>
          <w:rFonts w:ascii="Arial" w:hAnsi="Arial"/>
          <w:b/>
          <w:i w:val="0"/>
          <w:color w:val="C9A24B"/>
          <w:sz w:val="28"/>
        </w:rPr>
        <w:t xml:space="preserve">09  </w:t>
      </w:r>
      <w:r>
        <w:rPr>
          <w:rFonts w:ascii="Arial" w:hAnsi="Arial"/>
          <w:b/>
          <w:i w:val="0"/>
          <w:color w:val="16243D"/>
          <w:sz w:val="28"/>
        </w:rPr>
        <w:t>Reporting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Provide Close task status, overdue items, reconciliation risk, and journal approval dashboard.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Show owner, status, ageing, exception reason, and next action where relevant to Month-end Close.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Support finance manager review with exportable period-end evidence.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Separate open exceptions from completed, approved, or signed-off items.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Make reporting outputs readable by finance users without system administrator access.</w:t>
            </w:r>
          </w:p>
        </w:tc>
      </w:tr>
    </w:tbl>
    <w:p>
      <w:pPr>
        <w:pStyle w:val="Heading1"/>
        <w:keepNext/>
        <w:spacing w:before="360" w:after="160"/>
        <w:pBdr>
          <w:bottom w:val="single" w:sz="10" w:space="4" w:color="2E5C8A"/>
        </w:pBdr>
      </w:pPr>
      <w:r>
        <w:rPr>
          <w:rFonts w:ascii="Arial" w:hAnsi="Arial"/>
          <w:b/>
          <w:i w:val="0"/>
          <w:color w:val="C9A24B"/>
          <w:sz w:val="28"/>
        </w:rPr>
        <w:t xml:space="preserve">10  </w:t>
      </w:r>
      <w:r>
        <w:rPr>
          <w:rFonts w:ascii="Arial" w:hAnsi="Arial"/>
          <w:b/>
          <w:i w:val="0"/>
          <w:color w:val="16243D"/>
          <w:sz w:val="28"/>
        </w:rPr>
        <w:t>Audit Trail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Store task status changes, evidence uploads, preparer completion, and reviewer sign-off timestamps.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Record journal submission, approval, rejection, posting, and reversal history.</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Preserve reopen reasons and approval decisions for closed tasks.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Track reconciliation owner/status history for each close period.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Keep close pack export timestamp, preparer, reviewer, and final approver evidence.</w:t>
            </w:r>
          </w:p>
        </w:tc>
      </w:tr>
    </w:tbl>
    <w:p>
      <w:pPr>
        <w:pStyle w:val="Heading1"/>
        <w:keepNext/>
        <w:spacing w:before="360" w:after="160"/>
        <w:pBdr>
          <w:bottom w:val="single" w:sz="10" w:space="4" w:color="2E5C8A"/>
        </w:pBdr>
      </w:pPr>
      <w:r>
        <w:rPr>
          <w:rFonts w:ascii="Arial" w:hAnsi="Arial"/>
          <w:b/>
          <w:i w:val="0"/>
          <w:color w:val="C9A24B"/>
          <w:sz w:val="28"/>
        </w:rPr>
        <w:t xml:space="preserve">11  </w:t>
      </w:r>
      <w:r>
        <w:rPr>
          <w:rFonts w:ascii="Arial" w:hAnsi="Arial"/>
          <w:b/>
          <w:i w:val="0"/>
          <w:color w:val="16243D"/>
          <w:sz w:val="28"/>
        </w:rPr>
        <w:t>User Stories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500"/>
        <w:gridCol w:w="6860"/>
      </w:tblGrid>
      <w:tr>
        <w:tc>
          <w:tcPr>
            <w:tcW w:type="dxa" w:w="2500"/>
            <w:shd w:fill="16243D"/>
            <w:tcMar>
              <w:top w:w="70" w:type="dxa"/>
              <w:bottom w:w="70" w:type="dxa"/>
              <w:left w:w="130" w:type="dxa"/>
              <w:right w:w="130" w:type="dxa"/>
            </w:tcMar>
          </w:tcPr>
          <w:p>
            <w:pPr>
              <w:spacing w:after="0"/>
            </w:pPr>
            <w:r/>
            <w:r>
              <w:rPr>
                <w:rFonts w:ascii="Arial" w:hAnsi="Arial"/>
                <w:b/>
                <w:i w:val="0"/>
                <w:color w:val="FFFFFF"/>
                <w:sz w:val="16"/>
              </w:rPr>
              <w:t>ROLE</w:t>
            </w:r>
          </w:p>
        </w:tc>
        <w:tc>
          <w:tcPr>
            <w:tcW w:type="dxa" w:w="6860"/>
            <w:shd w:fill="16243D"/>
            <w:tcMar>
              <w:top w:w="70" w:type="dxa"/>
              <w:bottom w:w="70" w:type="dxa"/>
              <w:left w:w="130" w:type="dxa"/>
              <w:right w:w="130" w:type="dxa"/>
            </w:tcMar>
          </w:tcPr>
          <w:p>
            <w:pPr>
              <w:spacing w:after="0"/>
            </w:pPr>
            <w:r/>
            <w:r>
              <w:rPr>
                <w:rFonts w:ascii="Arial" w:hAnsi="Arial"/>
                <w:b/>
                <w:i w:val="0"/>
                <w:color w:val="FFFFFF"/>
                <w:sz w:val="16"/>
              </w:rPr>
              <w:t>USER STORY</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Close Lead</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Overdue tasks escalated so blockers are visible before reporting deadlines.</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Preparer</w:t>
            </w:r>
          </w:p>
        </w:tc>
        <w:tc>
          <w:tcPr>
            <w:tcW w:type="dxa" w:w="68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One place to attach reconciliation evidence so reviewer sign-off is faster.</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Reviewer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High-risk accounts highlighted so review effort follows materiality.</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Finance Controller</w:t>
            </w:r>
          </w:p>
        </w:tc>
        <w:tc>
          <w:tcPr>
            <w:tcW w:type="dxa" w:w="68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Journal approval status so unposted adjustments do not surprise the close.</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User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As an auditor, I want close task and journal approval history by period so that evidence is traceable.</w:t>
            </w:r>
          </w:p>
        </w:tc>
      </w:tr>
    </w:tbl>
    <w:p>
      <w:pPr>
        <w:pStyle w:val="Heading1"/>
        <w:keepNext/>
        <w:spacing w:before="360" w:after="160"/>
        <w:pBdr>
          <w:bottom w:val="single" w:sz="10" w:space="4" w:color="2E5C8A"/>
        </w:pBdr>
      </w:pPr>
      <w:r>
        <w:rPr>
          <w:rFonts w:ascii="Arial" w:hAnsi="Arial"/>
          <w:b/>
          <w:i w:val="0"/>
          <w:color w:val="C9A24B"/>
          <w:sz w:val="28"/>
        </w:rPr>
        <w:t xml:space="preserve">12  </w:t>
      </w:r>
      <w:r>
        <w:rPr>
          <w:rFonts w:ascii="Arial" w:hAnsi="Arial"/>
          <w:b/>
          <w:i w:val="0"/>
          <w:color w:val="16243D"/>
          <w:sz w:val="28"/>
        </w:rPr>
        <w:t>UAT Test Cases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4055"/>
        <w:gridCol w:w="4055"/>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4055"/>
            <w:shd w:fill="16243D"/>
            <w:tcMar>
              <w:top w:w="70" w:type="dxa"/>
              <w:bottom w:w="70" w:type="dxa"/>
              <w:left w:w="130" w:type="dxa"/>
              <w:right w:w="130" w:type="dxa"/>
            </w:tcMar>
          </w:tcPr>
          <w:p>
            <w:pPr>
              <w:spacing w:after="0"/>
            </w:pPr>
            <w:r/>
            <w:r>
              <w:rPr>
                <w:rFonts w:ascii="Arial" w:hAnsi="Arial"/>
                <w:b/>
                <w:i w:val="0"/>
                <w:color w:val="FFFFFF"/>
                <w:sz w:val="16"/>
              </w:rPr>
              <w:t>TEST SCENARIO</w:t>
            </w:r>
          </w:p>
        </w:tc>
        <w:tc>
          <w:tcPr>
            <w:tcW w:type="dxa" w:w="4055"/>
            <w:shd w:fill="16243D"/>
            <w:tcMar>
              <w:top w:w="70" w:type="dxa"/>
              <w:bottom w:w="70" w:type="dxa"/>
              <w:left w:w="130" w:type="dxa"/>
              <w:right w:w="130" w:type="dxa"/>
            </w:tcMar>
          </w:tcPr>
          <w:p>
            <w:pPr>
              <w:spacing w:after="0"/>
            </w:pPr>
            <w:r/>
            <w:r>
              <w:rPr>
                <w:rFonts w:ascii="Arial" w:hAnsi="Arial"/>
                <w:b/>
                <w:i w:val="0"/>
                <w:color w:val="FFFFFF"/>
                <w:sz w:val="16"/>
              </w:rPr>
              <w:t>EXPECTED RESULT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UAT-01</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 mandatory close task passes its due date without completion.</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The task is escalated and appears in the overdue close view.</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UAT-02</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A high-risk reconciliation is submitted without evidence.</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Reviewer sign-off is blocked until evidence is attached.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UAT-03</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Manual journal exceeds the approval threshold.</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Posting is blocked until the correct approver signs off.</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UAT-04</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A completed close task is reopened.</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Reopen reason, requester, approver, and timestamp are recorded.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UAT-05</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Period completion is attempted with open mandatory tasks.</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Completion is blocked and open tasks are listed.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UAT-06</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Month-end close pack is exported.</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The pack includes task completion, reconciliations, journals, overdue items, and sign-off evidence.</w:t>
            </w:r>
          </w:p>
        </w:tc>
      </w:tr>
    </w:tbl>
    <w:p>
      <w:pPr>
        <w:pStyle w:val="Heading1"/>
        <w:keepNext/>
        <w:spacing w:before="360" w:after="160"/>
        <w:pBdr>
          <w:bottom w:val="single" w:sz="10" w:space="4" w:color="2E5C8A"/>
        </w:pBdr>
      </w:pPr>
      <w:r>
        <w:rPr>
          <w:rFonts w:ascii="Arial" w:hAnsi="Arial"/>
          <w:b/>
          <w:i w:val="0"/>
          <w:color w:val="C9A24B"/>
          <w:sz w:val="28"/>
        </w:rPr>
        <w:t xml:space="preserve">13  </w:t>
      </w:r>
      <w:r>
        <w:rPr>
          <w:rFonts w:ascii="Arial" w:hAnsi="Arial"/>
          <w:b/>
          <w:i w:val="0"/>
          <w:color w:val="16243D"/>
          <w:sz w:val="28"/>
        </w:rPr>
        <w:t>Acceptance Criteria</w:t>
      </w:r>
    </w:p>
    <w:p>
      <w:r>
        <w:t>The implementation is accepted when the following are demonstrable in test evidence:</w:t>
      </w:r>
    </w:p>
    <w:p>
      <w:pPr>
        <w:pStyle w:val="ListParagraph"/>
        <w:ind w:left="403" w:hanging="259"/>
      </w:pPr>
      <w:r>
        <w:rPr>
          <w:rFonts w:ascii="Arial" w:hAnsi="Arial"/>
          <w:b/>
          <w:i w:val="0"/>
          <w:color w:val="1F2430"/>
          <w:sz w:val="19"/>
        </w:rPr>
        <w:t>1. Close calendar shows owner, reviewer, due date, dependency, status, and evidence for each task.</w:t>
      </w:r>
    </w:p>
    <w:p>
      <w:pPr>
        <w:pStyle w:val="ListParagraph"/>
        <w:ind w:left="403" w:hanging="259"/>
      </w:pPr>
      <w:r>
        <w:rPr>
          <w:rFonts w:ascii="Arial" w:hAnsi="Arial"/>
          <w:b/>
          <w:i w:val="0"/>
          <w:color w:val="1F2430"/>
          <w:sz w:val="19"/>
        </w:rPr>
        <w:t>2. High-risk reconciliations require reviewer sign-off before period completion.</w:t>
      </w:r>
    </w:p>
    <w:p>
      <w:pPr>
        <w:pStyle w:val="ListParagraph"/>
        <w:ind w:left="403" w:hanging="259"/>
      </w:pPr>
      <w:r>
        <w:rPr>
          <w:rFonts w:ascii="Arial" w:hAnsi="Arial"/>
          <w:b/>
          <w:i w:val="0"/>
          <w:color w:val="1F2430"/>
          <w:sz w:val="19"/>
        </w:rPr>
        <w:t>3. Journal approvals are visible and traceable by journal batch.</w:t>
      </w:r>
    </w:p>
    <w:p>
      <w:pPr>
        <w:pStyle w:val="ListParagraph"/>
        <w:ind w:left="403" w:hanging="259"/>
      </w:pPr>
      <w:r>
        <w:rPr>
          <w:rFonts w:ascii="Arial" w:hAnsi="Arial"/>
          <w:b/>
          <w:i w:val="0"/>
          <w:color w:val="1F2430"/>
          <w:sz w:val="19"/>
        </w:rPr>
        <w:t>4. Overdue tasks escalate without manual tracker updates.</w:t>
      </w:r>
    </w:p>
    <w:p>
      <w:pPr>
        <w:pStyle w:val="ListParagraph"/>
        <w:ind w:left="403" w:hanging="259"/>
      </w:pPr>
      <w:r>
        <w:rPr>
          <w:rFonts w:ascii="Arial" w:hAnsi="Arial"/>
          <w:b/>
          <w:i w:val="0"/>
          <w:color w:val="1F2430"/>
          <w:sz w:val="19"/>
        </w:rPr>
        <w:t>5. Close evidence pack exports with task, reconciliation, journal, and sign-off details.</w:t>
      </w:r>
    </w:p>
    <w:p>
      <w:pPr>
        <w:pStyle w:val="Heading1"/>
        <w:keepNext/>
        <w:spacing w:before="360" w:after="160"/>
        <w:pBdr>
          <w:bottom w:val="single" w:sz="10" w:space="4" w:color="2E5C8A"/>
        </w:pBdr>
      </w:pPr>
      <w:r>
        <w:rPr>
          <w:rFonts w:ascii="Arial" w:hAnsi="Arial"/>
          <w:b/>
          <w:i w:val="0"/>
          <w:color w:val="C9A24B"/>
          <w:sz w:val="28"/>
        </w:rPr>
        <w:t xml:space="preserve">14  </w:t>
      </w:r>
      <w:r>
        <w:rPr>
          <w:rFonts w:ascii="Arial" w:hAnsi="Arial"/>
          <w:b/>
          <w:i w:val="0"/>
          <w:color w:val="16243D"/>
          <w:sz w:val="28"/>
        </w:rPr>
        <w:t>Implementation Risks and Dependencies</w:t>
      </w:r>
    </w:p>
    <w:p>
      <w:pPr>
        <w:pStyle w:val="ListParagraph"/>
        <w:ind w:left="403" w:hanging="259"/>
      </w:pPr>
      <w:r>
        <w:rPr>
          <w:rFonts w:ascii="Arial" w:hAnsi="Arial"/>
          <w:b w:val="0"/>
          <w:i w:val="0"/>
          <w:color w:val="1F2430"/>
          <w:sz w:val="19"/>
        </w:rPr>
        <w:t>• Close task ownership must be agreed across finance teams.</w:t>
      </w:r>
    </w:p>
    <w:p>
      <w:pPr>
        <w:pStyle w:val="ListParagraph"/>
        <w:ind w:left="403" w:hanging="259"/>
      </w:pPr>
      <w:r>
        <w:rPr>
          <w:rFonts w:ascii="Arial" w:hAnsi="Arial"/>
          <w:b w:val="0"/>
          <w:i w:val="0"/>
          <w:color w:val="1F2430"/>
          <w:sz w:val="19"/>
        </w:rPr>
        <w:t>• Balance sheet reconciliation risk ratings may need finance controller approval.</w:t>
      </w:r>
    </w:p>
    <w:p>
      <w:pPr>
        <w:pStyle w:val="ListParagraph"/>
        <w:ind w:left="403" w:hanging="259"/>
      </w:pPr>
      <w:r>
        <w:rPr>
          <w:rFonts w:ascii="Arial" w:hAnsi="Arial"/>
          <w:b w:val="0"/>
          <w:i w:val="0"/>
          <w:color w:val="1F2430"/>
          <w:sz w:val="19"/>
        </w:rPr>
        <w:t>• Journal approval thresholds must align with delegation of authority.</w:t>
      </w:r>
    </w:p>
    <w:p>
      <w:pPr>
        <w:pStyle w:val="ListParagraph"/>
        <w:ind w:left="403" w:hanging="259"/>
      </w:pPr>
      <w:r>
        <w:rPr>
          <w:rFonts w:ascii="Arial" w:hAnsi="Arial"/>
          <w:b w:val="0"/>
          <w:i w:val="0"/>
          <w:color w:val="1F2430"/>
          <w:sz w:val="19"/>
        </w:rPr>
        <w:t>• Legacy spreadsheet trackers may need migration or archive decisions.</w:t>
      </w:r>
    </w:p>
    <w:p>
      <w:pPr>
        <w:pStyle w:val="ListParagraph"/>
        <w:ind w:left="403" w:hanging="259"/>
      </w:pPr>
      <w:r>
        <w:rPr>
          <w:rFonts w:ascii="Arial" w:hAnsi="Arial"/>
          <w:b w:val="0"/>
          <w:i w:val="0"/>
          <w:color w:val="1F2430"/>
          <w:sz w:val="19"/>
        </w:rPr>
        <w:t>• Users need discipline to attach evidence before sign-off.</w:t>
      </w:r>
    </w:p>
    <w:p>
      <w:pPr>
        <w:pStyle w:val="Heading1"/>
        <w:keepNext/>
        <w:spacing w:before="360" w:after="160"/>
        <w:pBdr>
          <w:bottom w:val="single" w:sz="10" w:space="4" w:color="2E5C8A"/>
        </w:pBdr>
      </w:pPr>
      <w:r>
        <w:rPr>
          <w:rFonts w:ascii="Arial" w:hAnsi="Arial"/>
          <w:b/>
          <w:i w:val="0"/>
          <w:color w:val="C9A24B"/>
          <w:sz w:val="28"/>
        </w:rPr>
        <w:t xml:space="preserve">15  </w:t>
      </w:r>
      <w:r>
        <w:rPr>
          <w:rFonts w:ascii="Arial" w:hAnsi="Arial"/>
          <w:b/>
          <w:i w:val="0"/>
          <w:color w:val="16243D"/>
          <w:sz w:val="28"/>
        </w:rPr>
        <w:t>Implementation Notes</w:t>
      </w:r>
    </w:p>
    <w:p>
      <w:pPr>
        <w:pStyle w:val="ListParagraph"/>
        <w:ind w:left="403" w:hanging="259"/>
      </w:pPr>
      <w:r>
        <w:rPr>
          <w:rFonts w:ascii="Arial" w:hAnsi="Arial"/>
          <w:b w:val="0"/>
          <w:i w:val="0"/>
          <w:color w:val="1F2430"/>
          <w:sz w:val="19"/>
        </w:rPr>
        <w:t>• Confirm Month-end Close process owner and reviewer roles before design sign-off.</w:t>
      </w:r>
    </w:p>
    <w:p>
      <w:pPr>
        <w:pStyle w:val="ListParagraph"/>
        <w:ind w:left="403" w:hanging="259"/>
      </w:pPr>
      <w:r>
        <w:rPr>
          <w:rFonts w:ascii="Arial" w:hAnsi="Arial"/>
          <w:b w:val="0"/>
          <w:i w:val="0"/>
          <w:color w:val="1F2430"/>
          <w:sz w:val="19"/>
        </w:rPr>
        <w:t>• Validate the required data fields against Microsoft Dynamics 365 Finance configuration.</w:t>
      </w:r>
    </w:p>
    <w:p>
      <w:pPr>
        <w:pStyle w:val="ListParagraph"/>
        <w:ind w:left="403" w:hanging="259"/>
      </w:pPr>
      <w:r>
        <w:rPr>
          <w:rFonts w:ascii="Arial" w:hAnsi="Arial"/>
          <w:b w:val="0"/>
          <w:i w:val="0"/>
          <w:color w:val="1F2430"/>
          <w:sz w:val="19"/>
        </w:rPr>
        <w:t>• Run UAT with approved sample scenarios before production data migration or cutover.</w:t>
      </w:r>
    </w:p>
    <w:p>
      <w:pPr>
        <w:pStyle w:val="ListParagraph"/>
        <w:ind w:left="403" w:hanging="259"/>
      </w:pPr>
      <w:r>
        <w:rPr>
          <w:rFonts w:ascii="Arial" w:hAnsi="Arial"/>
          <w:b w:val="0"/>
          <w:i w:val="0"/>
          <w:color w:val="1F2430"/>
          <w:sz w:val="19"/>
        </w:rPr>
        <w:t>• Keep any future AI-assisted drafting behind structured templates and human approval.</w:t>
      </w:r>
    </w:p>
    <w:p>
      <w:pPr>
        <w:spacing w:after="220"/>
      </w:pPr>
    </w:p>
    <w:tbl>
      <w:tblPr>
        <w:tblW w:type="dxa" w:w="9360"/>
        <w:tblLayout w:type="fixed"/>
        <w:tblLook w:firstColumn="1" w:firstRow="1" w:lastColumn="0" w:lastRow="0" w:noHBand="0" w:noVBand="1" w:val="04A0"/>
        <w:tblBorders>
          <w:top w:val="single" w:sz="6" w:space="0" w:color="CFA63A"/>
          <w:left w:val="single" w:sz="18" w:space="0" w:color="CFA63A"/>
          <w:bottom w:val="single" w:sz="6" w:space="0" w:color="CFA63A"/>
          <w:right w:val="single" w:sz="6" w:space="0" w:color="CFA63A"/>
          <w:insideH w:val="single" w:sz="6" w:space="0" w:color="CFA63A"/>
          <w:insideV w:val="single" w:sz="6" w:space="0" w:color="CFA63A"/>
        </w:tblBorders>
      </w:tblPr>
      <w:tblGrid>
        <w:gridCol w:w="9360"/>
      </w:tblGrid>
      <w:tr>
        <w:tc>
          <w:tcPr>
            <w:tcW w:type="dxa" w:w="9360"/>
            <w:shd w:fill="FBF5E7"/>
            <w:tcMar>
              <w:top w:w="150" w:type="dxa"/>
              <w:bottom w:w="150" w:type="dxa"/>
              <w:left w:w="200" w:type="dxa"/>
              <w:right w:w="180" w:type="dxa"/>
            </w:tcMar>
          </w:tcPr>
          <w:p>
            <w:pPr>
              <w:spacing w:after="60"/>
            </w:pPr>
            <w:r/>
            <w:r>
              <w:rPr>
                <w:rFonts w:ascii="Arial" w:hAnsi="Arial"/>
                <w:b/>
                <w:i w:val="0"/>
                <w:color w:val="8A6D1F"/>
                <w:sz w:val="17"/>
              </w:rPr>
              <w:t>PUBLIC-SAFE SAMPLE DATA NOTE</w:t>
            </w:r>
          </w:p>
          <w:p>
            <w:pPr>
              <w:spacing w:after="0"/>
            </w:pPr>
            <w:r>
              <w:rPr>
                <w:rFonts w:ascii="Arial" w:hAnsi="Arial"/>
                <w:b w:val="0"/>
                <w:i w:val="0"/>
                <w:color w:val="3A4253"/>
                <w:sz w:val="19"/>
              </w:rPr>
              <w:t>This pack was generated from fictional, public-safe sample inputs. It does not contain real employer, client, supplier, bank, VAT, payroll, or operational data. Do not upload confidential business information into a public demo.</w:t>
            </w:r>
          </w:p>
        </w:tc>
      </w:tr>
    </w:tbl>
    <w:sectPr w:rsidR="00FC693F" w:rsidRPr="0006063C" w:rsidSect="00034616">
      <w:headerReference w:type="first" r:id="rId9"/>
      <w:footerReference w:type="first" r:id="rId10"/>
      <w:headerReference w:type="default" r:id="rId11"/>
      <w:footerReference w:type="default" r:id="rId12"/>
      <w:pgSz w:w="12240" w:h="15840"/>
      <w:pgMar w:top="1180" w:right="1440" w:bottom="1180" w:left="1440"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40"/>
      <w:pBdr>
        <w:top w:val="single" w:sz="6" w:space="4" w:color="D9DEE6"/>
      </w:pBdr>
    </w:pPr>
    <w:r>
      <w:rPr>
        <w:rFonts w:ascii="Arial" w:hAnsi="Arial"/>
        <w:b w:val="0"/>
        <w:i w:val="0"/>
        <w:color w:val="6B7280"/>
        <w:sz w:val="15"/>
      </w:rPr>
      <w:t>Chez Solutions  ·  Public-safe sample document</w:t>
    </w:r>
    <w:r>
      <w:rPr>
        <w:rFonts w:ascii="Arial" w:hAnsi="Arial"/>
        <w:b w:val="0"/>
        <w:i w:val="0"/>
        <w:color w:val="6B7280"/>
        <w:sz w:val="15"/>
      </w:rPr>
      <w:tab/>
      <w:t xml:space="preserve">Page </w:t>
    </w:r>
    <w:r>
      <w:rPr>
        <w:rFonts w:ascii="Arial" w:hAnsi="Arial"/>
        <w:color w:val="16243D"/>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6" w:space="4" w:color="D9DEE6"/>
      </w:pBdr>
    </w:pPr>
    <w:r/>
    <w:r>
      <w:rPr>
        <w:rFonts w:ascii="Arial" w:hAnsi="Arial"/>
        <w:b/>
        <w:i w:val="0"/>
        <w:color w:val="16243D"/>
        <w:sz w:val="16"/>
      </w:rPr>
      <w:t>Month-end Close Requirements Pack</w:t>
    </w:r>
    <w:r>
      <w:rPr>
        <w:rFonts w:ascii="Arial" w:hAnsi="Arial"/>
        <w:b w:val="0"/>
        <w:i w:val="0"/>
        <w:color w:val="6B7280"/>
        <w:sz w:val="16"/>
      </w:rPr>
      <w:tab/>
      <w:t>Cedar Grove Retail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624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rPr>
      <w:rFonts w:ascii="Arial" w:hAnsi="Arial"/>
      <w:sz w:val="19"/>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