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9360"/>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360"/>
      </w:tblGrid>
      <w:tr>
        <w:tc>
          <w:tcPr>
            <w:tcW w:type="dxa" w:w="9360"/>
            <w:shd w:fill="16243D"/>
            <w:tcMar>
              <w:top w:w="560" w:type="dxa"/>
              <w:bottom w:w="560" w:type="dxa"/>
              <w:left w:w="420" w:type="dxa"/>
              <w:right w:w="420" w:type="dxa"/>
            </w:tcMar>
          </w:tcPr>
          <w:p>
            <w:pPr>
              <w:spacing w:after="120"/>
            </w:pPr>
            <w:r/>
            <w:r>
              <w:rPr>
                <w:rFonts w:ascii="Arial" w:hAnsi="Arial"/>
                <w:b/>
                <w:i w:val="0"/>
                <w:color w:val="C9A24B"/>
                <w:sz w:val="16"/>
              </w:rPr>
              <w:t>FINANCE · ERP IMPLEMENTATION</w:t>
            </w:r>
          </w:p>
          <w:p>
            <w:pPr>
              <w:spacing w:after="40"/>
            </w:pPr>
            <w:r>
              <w:rPr>
                <w:rFonts w:ascii="Arial" w:hAnsi="Arial"/>
                <w:b/>
                <w:i w:val="0"/>
                <w:color w:val="FFFFFF"/>
                <w:sz w:val="56"/>
              </w:rPr>
              <w:t>VAT Reconciliation</w:t>
            </w:r>
          </w:p>
          <w:p>
            <w:pPr>
              <w:spacing w:after="200"/>
            </w:pPr>
            <w:r>
              <w:rPr>
                <w:rFonts w:ascii="Arial" w:hAnsi="Arial"/>
                <w:b/>
                <w:i w:val="0"/>
                <w:color w:val="C7D3E3"/>
                <w:sz w:val="56"/>
              </w:rPr>
              <w:t>Requirements Pack</w:t>
            </w:r>
          </w:p>
          <w:p>
            <w:pPr>
              <w:spacing w:after="160"/>
              <w:pBdr>
                <w:bottom w:val="single" w:sz="14" w:space="4" w:color="C9A24B"/>
              </w:pBdr>
            </w:pPr>
          </w:p>
          <w:p>
            <w:r>
              <w:rPr>
                <w:rFonts w:ascii="Arial" w:hAnsi="Arial"/>
                <w:b w:val="0"/>
                <w:i w:val="0"/>
                <w:color w:val="9DB0CC"/>
                <w:sz w:val="20"/>
              </w:rPr>
              <w:t xml:space="preserve">Prepared for  </w:t>
            </w:r>
            <w:r>
              <w:rPr>
                <w:rFonts w:ascii="Arial" w:hAnsi="Arial"/>
                <w:b/>
                <w:i w:val="0"/>
                <w:color w:val="FFFFFF"/>
                <w:sz w:val="22"/>
              </w:rPr>
              <w:t>Demo Manufacturing Co</w:t>
            </w:r>
          </w:p>
        </w:tc>
      </w:tr>
    </w:tbl>
    <w:p>
      <w:pPr>
        <w:spacing w:after="140"/>
      </w:pPr>
    </w:p>
    <w:tbl>
      <w:tblPr>
        <w:tblW w:type="dxa" w:w="9360"/>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2340"/>
        <w:gridCol w:w="2340"/>
        <w:gridCol w:w="2340"/>
        <w:gridCol w:w="2340"/>
      </w:tblGrid>
      <w:tr>
        <w:tc>
          <w:tcPr>
            <w:tcW w:type="dxa" w:w="2340"/>
            <w:shd w:fill="F5F7FA"/>
            <w:tcMar>
              <w:top w:w="120" w:type="dxa"/>
              <w:bottom w:w="120" w:type="dxa"/>
              <w:left w:w="150" w:type="dxa"/>
              <w:right w:w="120" w:type="dxa"/>
            </w:tcMar>
            <w:tcBorders>
              <w:left w:val="single" w:sz="14" w:space="0" w:color="C9A24B"/>
              <w:right w:val="single" w:sz="14" w:space="0" w:color="FFFFFF"/>
            </w:tcBorders>
          </w:tcPr>
          <w:p>
            <w:pPr>
              <w:spacing w:after="30"/>
            </w:pPr>
            <w:r/>
            <w:r>
              <w:rPr>
                <w:rFonts w:ascii="Arial" w:hAnsi="Arial"/>
                <w:b w:val="0"/>
                <w:i w:val="0"/>
                <w:color w:val="6B7280"/>
                <w:sz w:val="13"/>
              </w:rPr>
              <w:t>PREPARED BY</w:t>
            </w:r>
          </w:p>
          <w:p>
            <w:pPr>
              <w:spacing w:after="0"/>
            </w:pPr>
            <w:r>
              <w:rPr>
                <w:rFonts w:ascii="Arial" w:hAnsi="Arial"/>
                <w:b/>
                <w:i w:val="0"/>
                <w:color w:val="16243D"/>
                <w:sz w:val="19"/>
              </w:rPr>
              <w:t>Chez Solutions</w:t>
            </w:r>
          </w:p>
        </w:tc>
        <w:tc>
          <w:tcPr>
            <w:tcW w:type="dxa" w:w="2340"/>
            <w:shd w:fill="F5F7FA"/>
            <w:tcMar>
              <w:top w:w="120" w:type="dxa"/>
              <w:bottom w:w="120" w:type="dxa"/>
              <w:left w:w="150" w:type="dxa"/>
              <w:right w:w="120" w:type="dxa"/>
            </w:tcMar>
            <w:tcBorders>
              <w:left w:val="single" w:sz="14" w:space="0" w:color="C9A24B"/>
              <w:right w:val="single" w:sz="14" w:space="0" w:color="FFFFFF"/>
            </w:tcBorders>
          </w:tcPr>
          <w:p>
            <w:pPr>
              <w:spacing w:after="30"/>
            </w:pPr>
            <w:r/>
            <w:r>
              <w:rPr>
                <w:rFonts w:ascii="Arial" w:hAnsi="Arial"/>
                <w:b w:val="0"/>
                <w:i w:val="0"/>
                <w:color w:val="6B7280"/>
                <w:sz w:val="13"/>
              </w:rPr>
              <w:t>PREPARED FOR</w:t>
            </w:r>
          </w:p>
          <w:p>
            <w:pPr>
              <w:spacing w:after="0"/>
            </w:pPr>
            <w:r>
              <w:rPr>
                <w:rFonts w:ascii="Arial" w:hAnsi="Arial"/>
                <w:b/>
                <w:i w:val="0"/>
                <w:color w:val="16243D"/>
                <w:sz w:val="19"/>
              </w:rPr>
              <w:t>Demo Manufacturing Co</w:t>
            </w:r>
          </w:p>
        </w:tc>
        <w:tc>
          <w:tcPr>
            <w:tcW w:type="dxa" w:w="2340"/>
            <w:shd w:fill="F5F7FA"/>
            <w:tcMar>
              <w:top w:w="120" w:type="dxa"/>
              <w:bottom w:w="120" w:type="dxa"/>
              <w:left w:w="150" w:type="dxa"/>
              <w:right w:w="120" w:type="dxa"/>
            </w:tcMar>
            <w:tcBorders>
              <w:left w:val="single" w:sz="14" w:space="0" w:color="C9A24B"/>
              <w:right w:val="single" w:sz="14" w:space="0" w:color="FFFFFF"/>
            </w:tcBorders>
          </w:tcPr>
          <w:p>
            <w:pPr>
              <w:spacing w:after="30"/>
            </w:pPr>
            <w:r/>
            <w:r>
              <w:rPr>
                <w:rFonts w:ascii="Arial" w:hAnsi="Arial"/>
                <w:b w:val="0"/>
                <w:i w:val="0"/>
                <w:color w:val="6B7280"/>
                <w:sz w:val="13"/>
              </w:rPr>
              <w:t>DATE</w:t>
            </w:r>
          </w:p>
          <w:p>
            <w:pPr>
              <w:spacing w:after="0"/>
            </w:pPr>
            <w:r>
              <w:rPr>
                <w:rFonts w:ascii="Arial" w:hAnsi="Arial"/>
                <w:b/>
                <w:i w:val="0"/>
                <w:color w:val="16243D"/>
                <w:sz w:val="19"/>
              </w:rPr>
              <w:t>June 2026</w:t>
            </w:r>
          </w:p>
        </w:tc>
        <w:tc>
          <w:tcPr>
            <w:tcW w:type="dxa" w:w="2340"/>
            <w:shd w:fill="F5F7FA"/>
            <w:tcMar>
              <w:top w:w="120" w:type="dxa"/>
              <w:bottom w:w="120" w:type="dxa"/>
              <w:left w:w="150" w:type="dxa"/>
              <w:right w:w="120" w:type="dxa"/>
            </w:tcMar>
            <w:tcBorders>
              <w:left w:val="single" w:sz="14" w:space="0" w:color="C9A24B"/>
              <w:right w:val="single" w:sz="14" w:space="0" w:color="FFFFFF"/>
            </w:tcBorders>
          </w:tcPr>
          <w:p>
            <w:pPr>
              <w:spacing w:after="30"/>
            </w:pPr>
            <w:r/>
            <w:r>
              <w:rPr>
                <w:rFonts w:ascii="Arial" w:hAnsi="Arial"/>
                <w:b w:val="0"/>
                <w:i w:val="0"/>
                <w:color w:val="6B7280"/>
                <w:sz w:val="13"/>
              </w:rPr>
              <w:t>STATUS</w:t>
            </w:r>
          </w:p>
          <w:p>
            <w:pPr>
              <w:spacing w:after="0"/>
            </w:pPr>
            <w:r>
              <w:rPr>
                <w:rFonts w:ascii="Arial" w:hAnsi="Arial"/>
                <w:b/>
                <w:i w:val="0"/>
                <w:color w:val="16243D"/>
                <w:sz w:val="19"/>
              </w:rPr>
              <w:t>Draft for Review</w:t>
            </w:r>
          </w:p>
        </w:tc>
      </w:tr>
    </w:tbl>
    <w:p>
      <w:pPr>
        <w:spacing w:after="160"/>
      </w:pPr>
    </w:p>
    <w:tbl>
      <w:tblPr>
        <w:tblW w:type="dxa" w:w="9360"/>
        <w:tblLayout w:type="fixed"/>
        <w:tblLook w:firstColumn="1" w:firstRow="1" w:lastColumn="0" w:lastRow="0" w:noHBand="0" w:noVBand="1" w:val="04A0"/>
        <w:tblBorders>
          <w:top w:val="single" w:sz="8" w:space="0" w:color="2E5C8A"/>
          <w:left w:val="single" w:sz="8" w:space="0" w:color="2E5C8A"/>
          <w:bottom w:val="single" w:sz="8" w:space="0" w:color="2E5C8A"/>
          <w:right w:val="single" w:sz="8" w:space="0" w:color="2E5C8A"/>
          <w:insideH w:val="single" w:sz="4" w:space="0" w:color="D9DEE6"/>
          <w:insideV w:val="single" w:sz="4" w:space="0" w:color="D9DEE6"/>
        </w:tblBorders>
      </w:tblPr>
      <w:tblGrid>
        <w:gridCol w:w="1872"/>
        <w:gridCol w:w="1872"/>
        <w:gridCol w:w="1872"/>
        <w:gridCol w:w="1872"/>
        <w:gridCol w:w="1872"/>
      </w:tblGrid>
      <w:tr>
        <w:tc>
          <w:tcPr>
            <w:tcW w:type="dxa" w:w="1872"/>
            <w:shd w:fill="FFFFFF"/>
            <w:tcMar>
              <w:top w:w="140" w:type="dxa"/>
              <w:bottom w:w="140" w:type="dxa"/>
              <w:left w:w="80" w:type="dxa"/>
              <w:right w:w="80" w:type="dxa"/>
            </w:tcMar>
            <w:vAlign w:val="center"/>
          </w:tcPr>
          <w:p>
            <w:pPr>
              <w:spacing w:after="30"/>
              <w:jc w:val="center"/>
            </w:pPr>
            <w:r/>
            <w:r>
              <w:rPr>
                <w:rFonts w:ascii="Arial" w:hAnsi="Arial"/>
                <w:b/>
                <w:i w:val="0"/>
                <w:color w:val="2E5C8A"/>
                <w:sz w:val="34"/>
              </w:rPr>
              <w:t>15</w:t>
            </w:r>
          </w:p>
          <w:p>
            <w:pPr>
              <w:spacing w:after="0"/>
              <w:jc w:val="center"/>
            </w:pPr>
            <w:r>
              <w:rPr>
                <w:rFonts w:ascii="Arial" w:hAnsi="Arial"/>
                <w:b w:val="0"/>
                <w:i w:val="0"/>
                <w:color w:val="6B7280"/>
                <w:sz w:val="14"/>
              </w:rPr>
              <w:t>TAX CODES</w:t>
            </w:r>
          </w:p>
        </w:tc>
        <w:tc>
          <w:tcPr>
            <w:tcW w:type="dxa" w:w="1872"/>
            <w:shd w:fill="FFFFFF"/>
            <w:tcMar>
              <w:top w:w="140" w:type="dxa"/>
              <w:bottom w:w="140" w:type="dxa"/>
              <w:left w:w="80" w:type="dxa"/>
              <w:right w:w="80" w:type="dxa"/>
            </w:tcMar>
            <w:vAlign w:val="center"/>
          </w:tcPr>
          <w:p>
            <w:pPr>
              <w:spacing w:after="30"/>
              <w:jc w:val="center"/>
            </w:pPr>
            <w:r/>
            <w:r>
              <w:rPr>
                <w:rFonts w:ascii="Arial" w:hAnsi="Arial"/>
                <w:b/>
                <w:i w:val="0"/>
                <w:color w:val="2E5C8A"/>
                <w:sz w:val="34"/>
              </w:rPr>
              <w:t>6 wks</w:t>
            </w:r>
          </w:p>
          <w:p>
            <w:pPr>
              <w:spacing w:after="0"/>
              <w:jc w:val="center"/>
            </w:pPr>
            <w:r>
              <w:rPr>
                <w:rFonts w:ascii="Arial" w:hAnsi="Arial"/>
                <w:b w:val="0"/>
                <w:i w:val="0"/>
                <w:color w:val="6B7280"/>
                <w:sz w:val="14"/>
              </w:rPr>
              <w:t>DELIVERY WINDOW</w:t>
            </w:r>
          </w:p>
        </w:tc>
        <w:tc>
          <w:tcPr>
            <w:tcW w:type="dxa" w:w="1872"/>
            <w:shd w:fill="FFFFFF"/>
            <w:tcMar>
              <w:top w:w="140" w:type="dxa"/>
              <w:bottom w:w="140" w:type="dxa"/>
              <w:left w:w="80" w:type="dxa"/>
              <w:right w:w="80" w:type="dxa"/>
            </w:tcMar>
            <w:vAlign w:val="center"/>
          </w:tcPr>
          <w:p>
            <w:pPr>
              <w:spacing w:after="30"/>
              <w:jc w:val="center"/>
            </w:pPr>
            <w:r/>
            <w:r>
              <w:rPr>
                <w:rFonts w:ascii="Arial" w:hAnsi="Arial"/>
                <w:b/>
                <w:i w:val="0"/>
                <w:color w:val="2E5C8A"/>
                <w:sz w:val="34"/>
              </w:rPr>
              <w:t>8</w:t>
            </w:r>
          </w:p>
          <w:p>
            <w:pPr>
              <w:spacing w:after="0"/>
              <w:jc w:val="center"/>
            </w:pPr>
            <w:r>
              <w:rPr>
                <w:rFonts w:ascii="Arial" w:hAnsi="Arial"/>
                <w:b w:val="0"/>
                <w:i w:val="0"/>
                <w:color w:val="6B7280"/>
                <w:sz w:val="14"/>
              </w:rPr>
              <w:t>FUNCTIONAL REQS</w:t>
            </w:r>
          </w:p>
        </w:tc>
        <w:tc>
          <w:tcPr>
            <w:tcW w:type="dxa" w:w="1872"/>
            <w:shd w:fill="FFFFFF"/>
            <w:tcMar>
              <w:top w:w="140" w:type="dxa"/>
              <w:bottom w:w="140" w:type="dxa"/>
              <w:left w:w="80" w:type="dxa"/>
              <w:right w:w="80" w:type="dxa"/>
            </w:tcMar>
            <w:vAlign w:val="center"/>
          </w:tcPr>
          <w:p>
            <w:pPr>
              <w:spacing w:after="30"/>
              <w:jc w:val="center"/>
            </w:pPr>
            <w:r/>
            <w:r>
              <w:rPr>
                <w:rFonts w:ascii="Arial" w:hAnsi="Arial"/>
                <w:b/>
                <w:i w:val="0"/>
                <w:color w:val="2E5C8A"/>
                <w:sz w:val="34"/>
              </w:rPr>
              <w:t>5</w:t>
            </w:r>
          </w:p>
          <w:p>
            <w:pPr>
              <w:spacing w:after="0"/>
              <w:jc w:val="center"/>
            </w:pPr>
            <w:r>
              <w:rPr>
                <w:rFonts w:ascii="Arial" w:hAnsi="Arial"/>
                <w:b w:val="0"/>
                <w:i w:val="0"/>
                <w:color w:val="6B7280"/>
                <w:sz w:val="14"/>
              </w:rPr>
              <w:t>KEY CONTROLS</w:t>
            </w:r>
          </w:p>
        </w:tc>
        <w:tc>
          <w:tcPr>
            <w:tcW w:type="dxa" w:w="1872"/>
            <w:shd w:fill="FFFFFF"/>
            <w:tcMar>
              <w:top w:w="140" w:type="dxa"/>
              <w:bottom w:w="140" w:type="dxa"/>
              <w:left w:w="80" w:type="dxa"/>
              <w:right w:w="80" w:type="dxa"/>
            </w:tcMar>
            <w:vAlign w:val="center"/>
          </w:tcPr>
          <w:p>
            <w:pPr>
              <w:spacing w:after="30"/>
              <w:jc w:val="center"/>
            </w:pPr>
            <w:r/>
            <w:r>
              <w:rPr>
                <w:rFonts w:ascii="Arial" w:hAnsi="Arial"/>
                <w:b/>
                <w:i w:val="0"/>
                <w:color w:val="2E5C8A"/>
                <w:sz w:val="34"/>
              </w:rPr>
              <w:t>6</w:t>
            </w:r>
          </w:p>
          <w:p>
            <w:pPr>
              <w:spacing w:after="0"/>
              <w:jc w:val="center"/>
            </w:pPr>
            <w:r>
              <w:rPr>
                <w:rFonts w:ascii="Arial" w:hAnsi="Arial"/>
                <w:b w:val="0"/>
                <w:i w:val="0"/>
                <w:color w:val="6B7280"/>
                <w:sz w:val="14"/>
              </w:rPr>
              <w:t>UAT CASES</w:t>
            </w:r>
          </w:p>
        </w:tc>
      </w:tr>
    </w:tbl>
    <w:p>
      <w:pPr>
        <w:spacing w:before="260" w:after="60"/>
      </w:pPr>
      <w:r>
        <w:rPr>
          <w:rFonts w:ascii="Arial" w:hAnsi="Arial"/>
          <w:b/>
          <w:i w:val="0"/>
          <w:color w:val="2E5C8A"/>
          <w:sz w:val="16"/>
        </w:rPr>
        <w:t>PURPOSE</w:t>
      </w:r>
    </w:p>
    <w:p>
      <w:pPr>
        <w:spacing w:after="0" w:line="276" w:lineRule="auto"/>
      </w:pPr>
      <w:r>
        <w:rPr>
          <w:rFonts w:ascii="Arial" w:hAnsi="Arial"/>
          <w:b w:val="0"/>
          <w:i/>
          <w:color w:val="3A4253"/>
          <w:sz w:val="22"/>
        </w:rPr>
        <w:t>Translate finance process pain points into implementation-ready ERP requirements — covering workflow, data, controls, reporting, audit trail, and UAT coverage.</w:t>
      </w:r>
    </w:p>
    <w:p>
      <w:pPr>
        <w:pageBreakBefore/>
        <w:spacing w:after="60"/>
      </w:pPr>
      <w:r>
        <w:rPr>
          <w:rFonts w:ascii="Arial" w:hAnsi="Arial"/>
          <w:b/>
          <w:i w:val="0"/>
          <w:color w:val="16243D"/>
          <w:sz w:val="36"/>
        </w:rPr>
        <w:t>Contents</w:t>
      </w:r>
    </w:p>
    <w:p>
      <w:pPr>
        <w:spacing w:after="260"/>
        <w:pBdr>
          <w:bottom w:val="single" w:sz="12" w:space="4" w:color="C9A24B"/>
        </w:pBdr>
      </w:pPr>
    </w:p>
    <w:tbl>
      <w:tblPr>
        <w:tblW w:type="dxa" w:w="9360"/>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720"/>
        <w:gridCol w:w="7880"/>
        <w:gridCol w:w="760"/>
      </w:tblGrid>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01</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Executive Summary</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3</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02</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Business Problem</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3</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03</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Process Scope</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3</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04</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Scope Boundaries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3</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05</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Stakeholders and Roles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4</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06</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Functional Requirements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4</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07</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Data Requirements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5</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08</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Controls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5</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09</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Reporting Requirements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5</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10</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Audit Trail Requirements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5</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11</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User Stories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6</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12</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UAT Test Cases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6</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13</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Acceptance Criteria</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7</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14</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Implementation Risks and Dependencies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7</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15</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Implementation Notes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7</w:t>
            </w:r>
          </w:p>
        </w:tc>
      </w:tr>
    </w:tbl>
    <w:p>
      <w:pPr>
        <w:pStyle w:val="Heading1"/>
        <w:keepNext/>
        <w:pageBreakBefore/>
        <w:spacing w:before="360" w:after="160"/>
        <w:pBdr>
          <w:bottom w:val="single" w:sz="10" w:space="4" w:color="2E5C8A"/>
        </w:pBdr>
      </w:pPr>
      <w:r>
        <w:rPr>
          <w:rFonts w:ascii="Arial" w:hAnsi="Arial"/>
          <w:b/>
          <w:i w:val="0"/>
          <w:color w:val="C9A24B"/>
          <w:sz w:val="28"/>
        </w:rPr>
        <w:t xml:space="preserve">01  </w:t>
      </w:r>
      <w:r>
        <w:rPr>
          <w:rFonts w:ascii="Arial" w:hAnsi="Arial"/>
          <w:b/>
          <w:i w:val="0"/>
          <w:color w:val="16243D"/>
          <w:sz w:val="28"/>
        </w:rPr>
        <w:t>Executive Summary</w:t>
      </w:r>
    </w:p>
    <w:p>
      <w:r>
        <w:t>Demo Manufacturing Co needs a structured VAT Reconciliation requirements pack to reduce rework, clarify control ownership, and make SAP Business One implementation decisions testable. The pack translates vAT return differences, manual source register checks, and missing filing evidence into requirements for workflow, data, controls, reporting, audit trail, and UAT. It is sized for Quarterly VAT return with 15 active tax codes and frames the control design, reporting outputs, and acceptance criteria needed within a target delivery window of 6 weeks.</w:t>
      </w:r>
    </w:p>
    <w:p>
      <w:pPr>
        <w:pStyle w:val="Heading1"/>
        <w:keepNext/>
        <w:spacing w:before="360" w:after="160"/>
        <w:pBdr>
          <w:bottom w:val="single" w:sz="10" w:space="4" w:color="2E5C8A"/>
        </w:pBdr>
      </w:pPr>
      <w:r>
        <w:rPr>
          <w:rFonts w:ascii="Arial" w:hAnsi="Arial"/>
          <w:b/>
          <w:i w:val="0"/>
          <w:color w:val="C9A24B"/>
          <w:sz w:val="28"/>
        </w:rPr>
        <w:t xml:space="preserve">02  </w:t>
      </w:r>
      <w:r>
        <w:rPr>
          <w:rFonts w:ascii="Arial" w:hAnsi="Arial"/>
          <w:b/>
          <w:i w:val="0"/>
          <w:color w:val="16243D"/>
          <w:sz w:val="28"/>
        </w:rPr>
        <w:t>Business Problem</w:t>
      </w:r>
    </w:p>
    <w:p>
      <w:r>
        <w:t>The current VAT Reconciliation process relies on ERP tax reports, GL trial balance extracts, and offline VAT working papers. That creates avoidable risk around vAT return differences, manual source register checks, and missing filing evidence and leaves finance without a consistent requirements baseline for process design, configuration, controls, reporting, and UAT. The implementation needs clearer ownership, defined data fields, control evidence, and acceptance criteria before ERP optimisation or automation can be delivered with confidence.</w:t>
      </w:r>
    </w:p>
    <w:p>
      <w:pPr>
        <w:pStyle w:val="Heading1"/>
        <w:keepNext/>
        <w:spacing w:before="360" w:after="160"/>
        <w:pBdr>
          <w:bottom w:val="single" w:sz="10" w:space="4" w:color="2E5C8A"/>
        </w:pBdr>
      </w:pPr>
      <w:r>
        <w:rPr>
          <w:rFonts w:ascii="Arial" w:hAnsi="Arial"/>
          <w:b/>
          <w:i w:val="0"/>
          <w:color w:val="C9A24B"/>
          <w:sz w:val="28"/>
        </w:rPr>
        <w:t xml:space="preserve">03  </w:t>
      </w:r>
      <w:r>
        <w:rPr>
          <w:rFonts w:ascii="Arial" w:hAnsi="Arial"/>
          <w:b/>
          <w:i w:val="0"/>
          <w:color w:val="16243D"/>
          <w:sz w:val="28"/>
        </w:rPr>
        <w:t>Process Scope</w:t>
      </w:r>
    </w:p>
    <w:p>
      <w:r>
        <w:t>The future-state scope covers VAT source register extraction, VAT return box mapping, GL VAT control account reconciliation, and filing evidence; Clear ownership of reconciling differences before submission; and Audit trail for adjustments, review, and filing approval. The design will support vat-registered manufacturing entity users on SAP Business One, with emphasis on vat filing evidence, adjustment approval, and audit trail.</w:t>
      </w:r>
    </w:p>
    <w:p>
      <w:pPr>
        <w:pStyle w:val="Heading1"/>
        <w:keepNext/>
        <w:spacing w:before="360" w:after="160"/>
        <w:pBdr>
          <w:bottom w:val="single" w:sz="10" w:space="4" w:color="2E5C8A"/>
        </w:pBdr>
      </w:pPr>
      <w:r>
        <w:rPr>
          <w:rFonts w:ascii="Arial" w:hAnsi="Arial"/>
          <w:b/>
          <w:i w:val="0"/>
          <w:color w:val="C9A24B"/>
          <w:sz w:val="28"/>
        </w:rPr>
        <w:t xml:space="preserve">04  </w:t>
      </w:r>
      <w:r>
        <w:rPr>
          <w:rFonts w:ascii="Arial" w:hAnsi="Arial"/>
          <w:b/>
          <w:i w:val="0"/>
          <w:color w:val="16243D"/>
          <w:sz w:val="28"/>
        </w:rPr>
        <w:t>Scope Boundaries</w:t>
      </w:r>
    </w:p>
    <w:p>
      <w:r>
        <w:t>The boundaries below set expectations for this phase. Items out of scope can be re-planned as separate, approved phases.</w:t>
      </w:r>
    </w:p>
    <w:tbl>
      <w:tblPr>
        <w:tblW w:type="dxa" w:w="9360"/>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4680"/>
        <w:gridCol w:w="4680"/>
      </w:tblGrid>
      <w:tr>
        <w:tc>
          <w:tcPr>
            <w:tcW w:type="dxa" w:w="4680"/>
            <w:shd w:fill="E7F1EC"/>
            <w:tcMar>
              <w:top w:w="120" w:type="dxa"/>
              <w:bottom w:w="130" w:type="dxa"/>
              <w:left w:w="160" w:type="dxa"/>
              <w:right w:w="160" w:type="dxa"/>
            </w:tcMar>
            <w:tcBorders>
              <w:top w:val="single" w:sz="8" w:space="0" w:color="1F7A4D"/>
              <w:bottom w:val="single" w:sz="4" w:space="0" w:color="D9DEE6"/>
              <w:left w:val="single" w:sz="4" w:space="0" w:color="D9DEE6"/>
              <w:right w:val="single" w:sz="4" w:space="0" w:color="D9DEE6"/>
            </w:tcBorders>
            <w:vAlign w:val="top"/>
          </w:tcPr>
          <w:p>
            <w:pPr>
              <w:shd w:fill="1F7A4D"/>
              <w:spacing w:after="100"/>
            </w:pPr>
            <w:r/>
            <w:r>
              <w:rPr>
                <w:rFonts w:ascii="Arial" w:hAnsi="Arial"/>
                <w:b/>
                <w:i w:val="0"/>
                <w:color w:val="FFFFFF"/>
                <w:sz w:val="18"/>
              </w:rPr>
              <w:t>IN SCOPE</w:t>
            </w:r>
          </w:p>
          <w:p>
            <w:pPr>
              <w:spacing w:after="70"/>
            </w:pPr>
            <w:r>
              <w:rPr>
                <w:rFonts w:ascii="Arial" w:hAnsi="Arial"/>
                <w:b w:val="0"/>
                <w:i w:val="0"/>
                <w:color w:val="1F2430"/>
                <w:sz w:val="19"/>
              </w:rPr>
              <w:t>• VAT Reconciliation requirements for the agreed vat-registered manufacturing entity process.</w:t>
            </w:r>
          </w:p>
          <w:p>
            <w:pPr>
              <w:spacing w:after="70"/>
            </w:pPr>
            <w:r>
              <w:rPr>
                <w:rFonts w:ascii="Arial" w:hAnsi="Arial"/>
                <w:b w:val="0"/>
                <w:i w:val="0"/>
                <w:color w:val="1F2430"/>
                <w:sz w:val="19"/>
              </w:rPr>
              <w:t>• Workflow, data, controls, reporting, audit trail, and UAT requirements for SAP Business One.</w:t>
            </w:r>
          </w:p>
          <w:p>
            <w:pPr>
              <w:spacing w:after="70"/>
            </w:pPr>
            <w:r>
              <w:rPr>
                <w:rFonts w:ascii="Arial" w:hAnsi="Arial"/>
                <w:b w:val="0"/>
                <w:i w:val="0"/>
                <w:color w:val="1F2430"/>
                <w:sz w:val="19"/>
              </w:rPr>
              <w:t>• Process pain points covering vAT return differences, manual source register checks, and missing filing evidence.</w:t>
            </w:r>
          </w:p>
          <w:p>
            <w:pPr>
              <w:spacing w:after="70"/>
            </w:pPr>
            <w:r>
              <w:rPr>
                <w:rFonts w:ascii="Arial" w:hAnsi="Arial"/>
                <w:b w:val="0"/>
                <w:i w:val="0"/>
                <w:color w:val="1F2430"/>
                <w:sz w:val="19"/>
              </w:rPr>
              <w:t>• Reporting requirement: VAT source-to-return-to-GL reconciliation with difference owner status.</w:t>
            </w:r>
          </w:p>
          <w:p>
            <w:pPr>
              <w:spacing w:after="70"/>
            </w:pPr>
            <w:r>
              <w:rPr>
                <w:rFonts w:ascii="Arial" w:hAnsi="Arial"/>
                <w:b w:val="0"/>
                <w:i w:val="0"/>
                <w:color w:val="1F2430"/>
                <w:sz w:val="19"/>
              </w:rPr>
              <w:t>• Implementation window and readiness assumptions for the 6 weeks target window.</w:t>
            </w:r>
          </w:p>
        </w:tc>
        <w:tc>
          <w:tcPr>
            <w:tcW w:type="dxa" w:w="4680"/>
            <w:shd w:fill="F6EBE8"/>
            <w:tcMar>
              <w:top w:w="120" w:type="dxa"/>
              <w:bottom w:w="130" w:type="dxa"/>
              <w:left w:w="160" w:type="dxa"/>
              <w:right w:w="160" w:type="dxa"/>
            </w:tcMar>
            <w:tcBorders>
              <w:top w:val="single" w:sz="8" w:space="0" w:color="9A3B2E"/>
              <w:bottom w:val="single" w:sz="4" w:space="0" w:color="D9DEE6"/>
              <w:left w:val="single" w:sz="4" w:space="0" w:color="D9DEE6"/>
              <w:right w:val="single" w:sz="4" w:space="0" w:color="D9DEE6"/>
            </w:tcBorders>
            <w:vAlign w:val="top"/>
          </w:tcPr>
          <w:p>
            <w:pPr>
              <w:shd w:fill="9A3B2E"/>
              <w:spacing w:after="100"/>
            </w:pPr>
            <w:r/>
            <w:r>
              <w:rPr>
                <w:rFonts w:ascii="Arial" w:hAnsi="Arial"/>
                <w:b/>
                <w:i w:val="0"/>
                <w:color w:val="FFFFFF"/>
                <w:sz w:val="18"/>
              </w:rPr>
              <w:t>OUT OF SCOPE</w:t>
            </w:r>
          </w:p>
          <w:p>
            <w:pPr>
              <w:spacing w:after="70"/>
            </w:pPr>
            <w:r>
              <w:rPr>
                <w:rFonts w:ascii="Arial" w:hAnsi="Arial"/>
                <w:b w:val="0"/>
                <w:i w:val="0"/>
                <w:color w:val="1F2430"/>
                <w:sz w:val="19"/>
              </w:rPr>
              <w:t>• Live system configuration, data migration execution, and production cutover.</w:t>
            </w:r>
          </w:p>
          <w:p>
            <w:pPr>
              <w:spacing w:after="70"/>
            </w:pPr>
            <w:r>
              <w:rPr>
                <w:rFonts w:ascii="Arial" w:hAnsi="Arial"/>
                <w:b w:val="0"/>
                <w:i w:val="0"/>
                <w:color w:val="1F2430"/>
                <w:sz w:val="19"/>
              </w:rPr>
              <w:t>• Custom integration build or external workflow automation.</w:t>
            </w:r>
          </w:p>
          <w:p>
            <w:pPr>
              <w:spacing w:after="70"/>
            </w:pPr>
            <w:r>
              <w:rPr>
                <w:rFonts w:ascii="Arial" w:hAnsi="Arial"/>
                <w:b w:val="0"/>
                <w:i w:val="0"/>
                <w:color w:val="1F2430"/>
                <w:sz w:val="19"/>
              </w:rPr>
              <w:t>• Legal, tax, HR, or statutory sign-off outside the finance process owner remit.</w:t>
            </w:r>
          </w:p>
          <w:p>
            <w:pPr>
              <w:spacing w:after="70"/>
            </w:pPr>
            <w:r>
              <w:rPr>
                <w:rFonts w:ascii="Arial" w:hAnsi="Arial"/>
                <w:b w:val="0"/>
                <w:i w:val="0"/>
                <w:color w:val="1F2430"/>
                <w:sz w:val="19"/>
              </w:rPr>
              <w:t>• Direct processing of operational production data.</w:t>
            </w:r>
          </w:p>
          <w:p>
            <w:pPr>
              <w:spacing w:after="70"/>
            </w:pPr>
            <w:r>
              <w:rPr>
                <w:rFonts w:ascii="Arial" w:hAnsi="Arial"/>
                <w:b w:val="0"/>
                <w:i w:val="0"/>
                <w:color w:val="1F2430"/>
                <w:sz w:val="19"/>
              </w:rPr>
              <w:t>• Process areas outside VAT Reconciliation unless approved as a separate phase.</w:t>
            </w:r>
          </w:p>
        </w:tc>
      </w:tr>
    </w:tbl>
    <w:p>
      <w:pPr>
        <w:pStyle w:val="Heading1"/>
        <w:keepNext/>
        <w:spacing w:before="360" w:after="160"/>
        <w:pBdr>
          <w:bottom w:val="single" w:sz="10" w:space="4" w:color="2E5C8A"/>
        </w:pBdr>
      </w:pPr>
      <w:r>
        <w:rPr>
          <w:rFonts w:ascii="Arial" w:hAnsi="Arial"/>
          <w:b/>
          <w:i w:val="0"/>
          <w:color w:val="C9A24B"/>
          <w:sz w:val="28"/>
        </w:rPr>
        <w:t xml:space="preserve">05  </w:t>
      </w:r>
      <w:r>
        <w:rPr>
          <w:rFonts w:ascii="Arial" w:hAnsi="Arial"/>
          <w:b/>
          <w:i w:val="0"/>
          <w:color w:val="16243D"/>
          <w:sz w:val="28"/>
        </w:rPr>
        <w:t>Stakeholders and Roles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3000"/>
        <w:gridCol w:w="6360"/>
      </w:tblGrid>
      <w:tr>
        <w:tc>
          <w:tcPr>
            <w:tcW w:type="dxa" w:w="3000"/>
            <w:shd w:fill="16243D"/>
            <w:tcMar>
              <w:top w:w="70" w:type="dxa"/>
              <w:bottom w:w="70" w:type="dxa"/>
              <w:left w:w="130" w:type="dxa"/>
              <w:right w:w="130" w:type="dxa"/>
            </w:tcMar>
          </w:tcPr>
          <w:p>
            <w:pPr>
              <w:spacing w:after="0"/>
            </w:pPr>
            <w:r/>
            <w:r>
              <w:rPr>
                <w:rFonts w:ascii="Arial" w:hAnsi="Arial"/>
                <w:b/>
                <w:i w:val="0"/>
                <w:color w:val="FFFFFF"/>
                <w:sz w:val="16"/>
              </w:rPr>
              <w:t>ROLE</w:t>
            </w:r>
          </w:p>
        </w:tc>
        <w:tc>
          <w:tcPr>
            <w:tcW w:type="dxa" w:w="6360"/>
            <w:shd w:fill="16243D"/>
            <w:tcMar>
              <w:top w:w="70" w:type="dxa"/>
              <w:bottom w:w="70" w:type="dxa"/>
              <w:left w:w="130" w:type="dxa"/>
              <w:right w:w="130" w:type="dxa"/>
            </w:tcMar>
          </w:tcPr>
          <w:p>
            <w:pPr>
              <w:spacing w:after="0"/>
            </w:pPr>
            <w:r/>
            <w:r>
              <w:rPr>
                <w:rFonts w:ascii="Arial" w:hAnsi="Arial"/>
                <w:b/>
                <w:i w:val="0"/>
                <w:color w:val="FFFFFF"/>
                <w:sz w:val="16"/>
              </w:rPr>
              <w:t>RESPONSIBILITY</w:t>
            </w:r>
          </w:p>
        </w:tc>
      </w:tr>
      <w:tr>
        <w:tc>
          <w:tcPr>
            <w:tcW w:type="dxa" w:w="30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Finance Transformation Lead</w:t>
            </w:r>
          </w:p>
        </w:tc>
        <w:tc>
          <w:tcPr>
            <w:tcW w:type="dxa" w:w="63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accountable for business sign-off and prioritisation.</w:t>
            </w:r>
          </w:p>
        </w:tc>
      </w:tr>
      <w:tr>
        <w:tc>
          <w:tcPr>
            <w:tcW w:type="dxa" w:w="30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VAT Reconciliation process owner</w:t>
            </w:r>
          </w:p>
        </w:tc>
        <w:tc>
          <w:tcPr>
            <w:tcW w:type="dxa" w:w="63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validates workflow scope, controls, and exceptions.</w:t>
            </w:r>
          </w:p>
        </w:tc>
      </w:tr>
      <w:tr>
        <w:tc>
          <w:tcPr>
            <w:tcW w:type="dxa" w:w="30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Finance systems analyst</w:t>
            </w:r>
          </w:p>
        </w:tc>
        <w:tc>
          <w:tcPr>
            <w:tcW w:type="dxa" w:w="63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translates requirements into configuration and UAT coverage.</w:t>
            </w:r>
          </w:p>
        </w:tc>
      </w:tr>
      <w:tr>
        <w:tc>
          <w:tcPr>
            <w:tcW w:type="dxa" w:w="30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Preparer or operational user</w:t>
            </w:r>
          </w:p>
        </w:tc>
        <w:tc>
          <w:tcPr>
            <w:tcW w:type="dxa" w:w="63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confirms day-to-day inputs, handoffs, and evidence needs.</w:t>
            </w:r>
          </w:p>
        </w:tc>
      </w:tr>
      <w:tr>
        <w:tc>
          <w:tcPr>
            <w:tcW w:type="dxa" w:w="30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Reviewer or controller</w:t>
            </w:r>
          </w:p>
        </w:tc>
        <w:tc>
          <w:tcPr>
            <w:tcW w:type="dxa" w:w="63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approves control design, reporting outputs, and acceptance criteria.</w:t>
            </w:r>
          </w:p>
        </w:tc>
      </w:tr>
    </w:tbl>
    <w:p>
      <w:pPr>
        <w:pStyle w:val="Heading1"/>
        <w:keepNext/>
        <w:spacing w:before="360" w:after="160"/>
        <w:pBdr>
          <w:bottom w:val="single" w:sz="10" w:space="4" w:color="2E5C8A"/>
        </w:pBdr>
      </w:pPr>
      <w:r>
        <w:rPr>
          <w:rFonts w:ascii="Arial" w:hAnsi="Arial"/>
          <w:b/>
          <w:i w:val="0"/>
          <w:color w:val="C9A24B"/>
          <w:sz w:val="28"/>
        </w:rPr>
        <w:t xml:space="preserve">06  </w:t>
      </w:r>
      <w:r>
        <w:rPr>
          <w:rFonts w:ascii="Arial" w:hAnsi="Arial"/>
          <w:b/>
          <w:i w:val="0"/>
          <w:color w:val="16243D"/>
          <w:sz w:val="28"/>
        </w:rPr>
        <w:t>Functional Requirements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250"/>
        <w:gridCol w:w="8110"/>
      </w:tblGrid>
      <w:tr>
        <w:tc>
          <w:tcPr>
            <w:tcW w:type="dxa" w:w="1250"/>
            <w:shd w:fill="16243D"/>
            <w:tcMar>
              <w:top w:w="70" w:type="dxa"/>
              <w:bottom w:w="70" w:type="dxa"/>
              <w:left w:w="130" w:type="dxa"/>
              <w:right w:w="130" w:type="dxa"/>
            </w:tcMar>
          </w:tcPr>
          <w:p>
            <w:pPr>
              <w:spacing w:after="0"/>
            </w:pPr>
            <w:r/>
            <w:r>
              <w:rPr>
                <w:rFonts w:ascii="Arial" w:hAnsi="Arial"/>
                <w:b/>
                <w:i w:val="0"/>
                <w:color w:val="FFFFFF"/>
                <w:sz w:val="16"/>
              </w:rPr>
              <w:t>ID</w:t>
            </w:r>
          </w:p>
        </w:tc>
        <w:tc>
          <w:tcPr>
            <w:tcW w:type="dxa" w:w="8110"/>
            <w:shd w:fill="16243D"/>
            <w:tcMar>
              <w:top w:w="70" w:type="dxa"/>
              <w:bottom w:w="70" w:type="dxa"/>
              <w:left w:w="130" w:type="dxa"/>
              <w:right w:w="130" w:type="dxa"/>
            </w:tcMar>
          </w:tcPr>
          <w:p>
            <w:pPr>
              <w:spacing w:after="0"/>
            </w:pPr>
            <w:r/>
            <w:r>
              <w:rPr>
                <w:rFonts w:ascii="Arial" w:hAnsi="Arial"/>
                <w:b/>
                <w:i w:val="0"/>
                <w:color w:val="FFFFFF"/>
                <w:sz w:val="16"/>
              </w:rPr>
              <w:t>REQUIREMENT</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FR-01</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Capture VAT source register totals for sales, purchases, output tax, input tax, and adjustments.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FR-02</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Map source register totals to VAT return boxes using approved tax code rules.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FR-03</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Reconcile VAT return boxes to GL VAT control accounts for the reporting period.</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FR-04</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Identify differences by tax code, transaction source, entity, and reporting period.</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FR-05</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Track reconciling items with owner, status, reason, amount, and resolution action.</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FR-06</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Store filing evidence including return version, approver, submission reference, and filing date.</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FR-07</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Prevent submission readiness until material differences are reviewed.</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FR-08</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Produce a VAT reconciliation pack for finance manager and audit review.</w:t>
            </w:r>
          </w:p>
        </w:tc>
      </w:tr>
    </w:tbl>
    <w:p>
      <w:pPr>
        <w:pStyle w:val="Heading1"/>
        <w:keepNext/>
        <w:spacing w:before="360" w:after="160"/>
        <w:pBdr>
          <w:bottom w:val="single" w:sz="10" w:space="4" w:color="2E5C8A"/>
        </w:pBdr>
      </w:pPr>
      <w:r>
        <w:rPr>
          <w:rFonts w:ascii="Arial" w:hAnsi="Arial"/>
          <w:b/>
          <w:i w:val="0"/>
          <w:color w:val="C9A24B"/>
          <w:sz w:val="28"/>
        </w:rPr>
        <w:t xml:space="preserve">07  </w:t>
      </w:r>
      <w:r>
        <w:rPr>
          <w:rFonts w:ascii="Arial" w:hAnsi="Arial"/>
          <w:b/>
          <w:i w:val="0"/>
          <w:color w:val="16243D"/>
          <w:sz w:val="28"/>
        </w:rPr>
        <w:t>Data Requirements</w:t>
      </w:r>
    </w:p>
    <w:p>
      <w:r>
        <w:t>Minimum data fields required for the controls and reporting outputs to operate reliably.</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120"/>
        <w:gridCol w:w="3560"/>
        <w:gridCol w:w="1120"/>
        <w:gridCol w:w="3560"/>
      </w:tblGrid>
      <w:tr>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DR-01</w:t>
            </w:r>
          </w:p>
        </w:tc>
        <w:tc>
          <w:tcPr>
            <w:tcW w:type="dxa" w:w="35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VAT registration/entity</w:t>
            </w:r>
          </w:p>
        </w:tc>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DR-02</w:t>
            </w:r>
          </w:p>
        </w:tc>
        <w:tc>
          <w:tcPr>
            <w:tcW w:type="dxa" w:w="35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Tax code</w:t>
            </w:r>
          </w:p>
        </w:tc>
      </w:tr>
      <w:tr>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DR-03</w:t>
            </w:r>
          </w:p>
        </w:tc>
        <w:tc>
          <w:tcPr>
            <w:tcW w:type="dxa" w:w="35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Source register amount</w:t>
            </w:r>
          </w:p>
        </w:tc>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DR-04</w:t>
            </w:r>
          </w:p>
        </w:tc>
        <w:tc>
          <w:tcPr>
            <w:tcW w:type="dxa" w:w="35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VAT return box number</w:t>
            </w:r>
          </w:p>
        </w:tc>
      </w:tr>
      <w:tr>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DR-05</w:t>
            </w:r>
          </w:p>
        </w:tc>
        <w:tc>
          <w:tcPr>
            <w:tcW w:type="dxa" w:w="35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GL VAT control account</w:t>
            </w:r>
          </w:p>
        </w:tc>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DR-06</w:t>
            </w:r>
          </w:p>
        </w:tc>
        <w:tc>
          <w:tcPr>
            <w:tcW w:type="dxa" w:w="35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Reconciling difference</w:t>
            </w:r>
          </w:p>
        </w:tc>
      </w:tr>
      <w:tr>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DR-07</w:t>
            </w:r>
          </w:p>
        </w:tc>
        <w:tc>
          <w:tcPr>
            <w:tcW w:type="dxa" w:w="35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Adjustment journal reference</w:t>
            </w:r>
          </w:p>
        </w:tc>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DR-08</w:t>
            </w:r>
          </w:p>
        </w:tc>
        <w:tc>
          <w:tcPr>
            <w:tcW w:type="dxa" w:w="35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Filing submission reference</w:t>
            </w:r>
          </w:p>
        </w:tc>
      </w:tr>
    </w:tbl>
    <w:p>
      <w:pPr>
        <w:pStyle w:val="Heading1"/>
        <w:keepNext/>
        <w:spacing w:before="360" w:after="160"/>
        <w:pBdr>
          <w:bottom w:val="single" w:sz="10" w:space="4" w:color="2E5C8A"/>
        </w:pBdr>
      </w:pPr>
      <w:r>
        <w:rPr>
          <w:rFonts w:ascii="Arial" w:hAnsi="Arial"/>
          <w:b/>
          <w:i w:val="0"/>
          <w:color w:val="C9A24B"/>
          <w:sz w:val="28"/>
        </w:rPr>
        <w:t xml:space="preserve">08  </w:t>
      </w:r>
      <w:r>
        <w:rPr>
          <w:rFonts w:ascii="Arial" w:hAnsi="Arial"/>
          <w:b/>
          <w:i w:val="0"/>
          <w:color w:val="16243D"/>
          <w:sz w:val="28"/>
        </w:rPr>
        <w:t>Controls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250"/>
        <w:gridCol w:w="8110"/>
      </w:tblGrid>
      <w:tr>
        <w:tc>
          <w:tcPr>
            <w:tcW w:type="dxa" w:w="1250"/>
            <w:shd w:fill="16243D"/>
            <w:tcMar>
              <w:top w:w="70" w:type="dxa"/>
              <w:bottom w:w="70" w:type="dxa"/>
              <w:left w:w="130" w:type="dxa"/>
              <w:right w:w="130" w:type="dxa"/>
            </w:tcMar>
          </w:tcPr>
          <w:p>
            <w:pPr>
              <w:spacing w:after="0"/>
            </w:pPr>
            <w:r/>
            <w:r>
              <w:rPr>
                <w:rFonts w:ascii="Arial" w:hAnsi="Arial"/>
                <w:b/>
                <w:i w:val="0"/>
                <w:color w:val="FFFFFF"/>
                <w:sz w:val="16"/>
              </w:rPr>
              <w:t>ID</w:t>
            </w:r>
          </w:p>
        </w:tc>
        <w:tc>
          <w:tcPr>
            <w:tcW w:type="dxa" w:w="8110"/>
            <w:shd w:fill="16243D"/>
            <w:tcMar>
              <w:top w:w="70" w:type="dxa"/>
              <w:bottom w:w="70" w:type="dxa"/>
              <w:left w:w="130" w:type="dxa"/>
              <w:right w:w="130" w:type="dxa"/>
            </w:tcMar>
          </w:tcPr>
          <w:p>
            <w:pPr>
              <w:spacing w:after="0"/>
            </w:pPr>
            <w:r/>
            <w:r>
              <w:rPr>
                <w:rFonts w:ascii="Arial" w:hAnsi="Arial"/>
                <w:b/>
                <w:i w:val="0"/>
                <w:color w:val="FFFFFF"/>
                <w:sz w:val="16"/>
              </w:rPr>
              <w:t>CONTROL</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CTRL-01</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VAT return cannot be marked ready where material differences are unresolved.</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CTRL-02</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Adjustments require reason code, supporting note, and reviewer approval.</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CTRL-03</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VAT return box mapping changes require finance owner sign-off.</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CTRL-04</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GL VAT control account reconciliation must be completed before filing approval.</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CTRL-05</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Filing evidence must include approver, date, and submission reference.</w:t>
            </w:r>
          </w:p>
        </w:tc>
      </w:tr>
    </w:tbl>
    <w:p>
      <w:pPr>
        <w:pStyle w:val="Heading1"/>
        <w:keepNext/>
        <w:spacing w:before="360" w:after="160"/>
        <w:pBdr>
          <w:bottom w:val="single" w:sz="10" w:space="4" w:color="2E5C8A"/>
        </w:pBdr>
      </w:pPr>
      <w:r>
        <w:rPr>
          <w:rFonts w:ascii="Arial" w:hAnsi="Arial"/>
          <w:b/>
          <w:i w:val="0"/>
          <w:color w:val="C9A24B"/>
          <w:sz w:val="28"/>
        </w:rPr>
        <w:t xml:space="preserve">09  </w:t>
      </w:r>
      <w:r>
        <w:rPr>
          <w:rFonts w:ascii="Arial" w:hAnsi="Arial"/>
          <w:b/>
          <w:i w:val="0"/>
          <w:color w:val="16243D"/>
          <w:sz w:val="28"/>
        </w:rPr>
        <w:t>Reporting Requirements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250"/>
        <w:gridCol w:w="8110"/>
      </w:tblGrid>
      <w:tr>
        <w:tc>
          <w:tcPr>
            <w:tcW w:type="dxa" w:w="1250"/>
            <w:shd w:fill="16243D"/>
            <w:tcMar>
              <w:top w:w="70" w:type="dxa"/>
              <w:bottom w:w="70" w:type="dxa"/>
              <w:left w:w="130" w:type="dxa"/>
              <w:right w:w="130" w:type="dxa"/>
            </w:tcMar>
          </w:tcPr>
          <w:p>
            <w:pPr>
              <w:spacing w:after="0"/>
            </w:pPr>
            <w:r/>
            <w:r>
              <w:rPr>
                <w:rFonts w:ascii="Arial" w:hAnsi="Arial"/>
                <w:b/>
                <w:i w:val="0"/>
                <w:color w:val="FFFFFF"/>
                <w:sz w:val="16"/>
              </w:rPr>
              <w:t>ID</w:t>
            </w:r>
          </w:p>
        </w:tc>
        <w:tc>
          <w:tcPr>
            <w:tcW w:type="dxa" w:w="8110"/>
            <w:shd w:fill="16243D"/>
            <w:tcMar>
              <w:top w:w="70" w:type="dxa"/>
              <w:bottom w:w="70" w:type="dxa"/>
              <w:left w:w="130" w:type="dxa"/>
              <w:right w:w="130" w:type="dxa"/>
            </w:tcMar>
          </w:tcPr>
          <w:p>
            <w:pPr>
              <w:spacing w:after="0"/>
            </w:pPr>
            <w:r/>
            <w:r>
              <w:rPr>
                <w:rFonts w:ascii="Arial" w:hAnsi="Arial"/>
                <w:b/>
                <w:i w:val="0"/>
                <w:color w:val="FFFFFF"/>
                <w:sz w:val="16"/>
              </w:rPr>
              <w:t>REQUIREMENT</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RPT-01</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Provide VAT source-to-return-to-GL reconciliation with difference owner status.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RPT-02</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Show owner, status, ageing, exception reason, and next action where relevant to VAT Reconciliation.</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RPT-03</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Support finance manager review with exportable period-end evidence.</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RPT-04</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Separate open exceptions from completed, approved, or signed-off items.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RPT-05</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Make reporting outputs readable by finance users without system administrator access.</w:t>
            </w:r>
          </w:p>
        </w:tc>
      </w:tr>
    </w:tbl>
    <w:p>
      <w:pPr>
        <w:pStyle w:val="Heading1"/>
        <w:keepNext/>
        <w:spacing w:before="360" w:after="160"/>
        <w:pBdr>
          <w:bottom w:val="single" w:sz="10" w:space="4" w:color="2E5C8A"/>
        </w:pBdr>
      </w:pPr>
      <w:r>
        <w:rPr>
          <w:rFonts w:ascii="Arial" w:hAnsi="Arial"/>
          <w:b/>
          <w:i w:val="0"/>
          <w:color w:val="C9A24B"/>
          <w:sz w:val="28"/>
        </w:rPr>
        <w:t xml:space="preserve">10  </w:t>
      </w:r>
      <w:r>
        <w:rPr>
          <w:rFonts w:ascii="Arial" w:hAnsi="Arial"/>
          <w:b/>
          <w:i w:val="0"/>
          <w:color w:val="16243D"/>
          <w:sz w:val="28"/>
        </w:rPr>
        <w:t>Audit Trail Requirements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250"/>
        <w:gridCol w:w="8110"/>
      </w:tblGrid>
      <w:tr>
        <w:tc>
          <w:tcPr>
            <w:tcW w:type="dxa" w:w="1250"/>
            <w:shd w:fill="16243D"/>
            <w:tcMar>
              <w:top w:w="70" w:type="dxa"/>
              <w:bottom w:w="70" w:type="dxa"/>
              <w:left w:w="130" w:type="dxa"/>
              <w:right w:w="130" w:type="dxa"/>
            </w:tcMar>
          </w:tcPr>
          <w:p>
            <w:pPr>
              <w:spacing w:after="0"/>
            </w:pPr>
            <w:r/>
            <w:r>
              <w:rPr>
                <w:rFonts w:ascii="Arial" w:hAnsi="Arial"/>
                <w:b/>
                <w:i w:val="0"/>
                <w:color w:val="FFFFFF"/>
                <w:sz w:val="16"/>
              </w:rPr>
              <w:t>ID</w:t>
            </w:r>
          </w:p>
        </w:tc>
        <w:tc>
          <w:tcPr>
            <w:tcW w:type="dxa" w:w="8110"/>
            <w:shd w:fill="16243D"/>
            <w:tcMar>
              <w:top w:w="70" w:type="dxa"/>
              <w:bottom w:w="70" w:type="dxa"/>
              <w:left w:w="130" w:type="dxa"/>
              <w:right w:w="130" w:type="dxa"/>
            </w:tcMar>
          </w:tcPr>
          <w:p>
            <w:pPr>
              <w:spacing w:after="0"/>
            </w:pPr>
            <w:r/>
            <w:r>
              <w:rPr>
                <w:rFonts w:ascii="Arial" w:hAnsi="Arial"/>
                <w:b/>
                <w:i w:val="0"/>
                <w:color w:val="FFFFFF"/>
                <w:sz w:val="16"/>
              </w:rPr>
              <w:t>REQUIREMENT</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AUD-01</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Store source register extraction date, preparer, and data source.</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AUD-02</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Record VAT box mapping versions and change approvals.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AUD-03</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Preserve reconciling difference owner/status history.</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AUD-04</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Keep adjustment journal references and review decisions.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AUD-05</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Record filing approval and submission evidence.</w:t>
            </w:r>
          </w:p>
        </w:tc>
      </w:tr>
    </w:tbl>
    <w:p>
      <w:pPr>
        <w:pStyle w:val="Heading1"/>
        <w:keepNext/>
        <w:spacing w:before="360" w:after="160"/>
        <w:pBdr>
          <w:bottom w:val="single" w:sz="10" w:space="4" w:color="2E5C8A"/>
        </w:pBdr>
      </w:pPr>
      <w:r>
        <w:rPr>
          <w:rFonts w:ascii="Arial" w:hAnsi="Arial"/>
          <w:b/>
          <w:i w:val="0"/>
          <w:color w:val="C9A24B"/>
          <w:sz w:val="28"/>
        </w:rPr>
        <w:t xml:space="preserve">11  </w:t>
      </w:r>
      <w:r>
        <w:rPr>
          <w:rFonts w:ascii="Arial" w:hAnsi="Arial"/>
          <w:b/>
          <w:i w:val="0"/>
          <w:color w:val="16243D"/>
          <w:sz w:val="28"/>
        </w:rPr>
        <w:t>User Stories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2500"/>
        <w:gridCol w:w="6860"/>
      </w:tblGrid>
      <w:tr>
        <w:tc>
          <w:tcPr>
            <w:tcW w:type="dxa" w:w="2500"/>
            <w:shd w:fill="16243D"/>
            <w:tcMar>
              <w:top w:w="70" w:type="dxa"/>
              <w:bottom w:w="70" w:type="dxa"/>
              <w:left w:w="130" w:type="dxa"/>
              <w:right w:w="130" w:type="dxa"/>
            </w:tcMar>
          </w:tcPr>
          <w:p>
            <w:pPr>
              <w:spacing w:after="0"/>
            </w:pPr>
            <w:r/>
            <w:r>
              <w:rPr>
                <w:rFonts w:ascii="Arial" w:hAnsi="Arial"/>
                <w:b/>
                <w:i w:val="0"/>
                <w:color w:val="FFFFFF"/>
                <w:sz w:val="16"/>
              </w:rPr>
              <w:t>ROLE</w:t>
            </w:r>
          </w:p>
        </w:tc>
        <w:tc>
          <w:tcPr>
            <w:tcW w:type="dxa" w:w="6860"/>
            <w:shd w:fill="16243D"/>
            <w:tcMar>
              <w:top w:w="70" w:type="dxa"/>
              <w:bottom w:w="70" w:type="dxa"/>
              <w:left w:w="130" w:type="dxa"/>
              <w:right w:w="130" w:type="dxa"/>
            </w:tcMar>
          </w:tcPr>
          <w:p>
            <w:pPr>
              <w:spacing w:after="0"/>
            </w:pPr>
            <w:r/>
            <w:r>
              <w:rPr>
                <w:rFonts w:ascii="Arial" w:hAnsi="Arial"/>
                <w:b/>
                <w:i w:val="0"/>
                <w:color w:val="FFFFFF"/>
                <w:sz w:val="16"/>
              </w:rPr>
              <w:t>USER STORY</w:t>
            </w:r>
          </w:p>
        </w:tc>
      </w:tr>
      <w:tr>
        <w:tc>
          <w:tcPr>
            <w:tcW w:type="dxa" w:w="2500"/>
            <w:shd w:fill="FFFFFF"/>
            <w:tcMar>
              <w:top w:w="80" w:type="dxa"/>
              <w:bottom w:w="80" w:type="dxa"/>
              <w:left w:w="140" w:type="dxa"/>
              <w:right w:w="140" w:type="dxa"/>
            </w:tcMar>
            <w:vAlign w:val="center"/>
          </w:tcPr>
          <w:p>
            <w:pPr>
              <w:spacing w:after="0" w:line="264" w:lineRule="auto"/>
            </w:pPr>
            <w:r/>
            <w:r>
              <w:rPr>
                <w:rFonts w:ascii="Arial" w:hAnsi="Arial"/>
                <w:b/>
                <w:i w:val="0"/>
                <w:color w:val="1F2430"/>
                <w:sz w:val="20"/>
              </w:rPr>
              <w:t>Tax Preparer</w:t>
            </w:r>
          </w:p>
        </w:tc>
        <w:tc>
          <w:tcPr>
            <w:tcW w:type="dxa" w:w="68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Source registers mapped to VAT return boxes so return totals are traceable.</w:t>
            </w:r>
          </w:p>
        </w:tc>
      </w:tr>
      <w:tr>
        <w:tc>
          <w:tcPr>
            <w:tcW w:type="dxa" w:w="2500"/>
            <w:shd w:fill="FFFFFF"/>
            <w:tcMar>
              <w:top w:w="80" w:type="dxa"/>
              <w:bottom w:w="80" w:type="dxa"/>
              <w:left w:w="140" w:type="dxa"/>
              <w:right w:w="140" w:type="dxa"/>
            </w:tcMar>
            <w:vAlign w:val="center"/>
          </w:tcPr>
          <w:p>
            <w:pPr>
              <w:spacing w:after="0" w:line="264" w:lineRule="auto"/>
            </w:pPr>
            <w:r/>
            <w:r>
              <w:rPr>
                <w:rFonts w:ascii="Arial" w:hAnsi="Arial"/>
                <w:b/>
                <w:i w:val="0"/>
                <w:color w:val="1F2430"/>
                <w:sz w:val="20"/>
              </w:rPr>
              <w:t>Finance Reviewer</w:t>
            </w:r>
          </w:p>
        </w:tc>
        <w:tc>
          <w:tcPr>
            <w:tcW w:type="dxa" w:w="68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GL VAT control accounts reconciled so balance sheet VAT is explained.</w:t>
            </w:r>
          </w:p>
        </w:tc>
      </w:tr>
      <w:tr>
        <w:tc>
          <w:tcPr>
            <w:tcW w:type="dxa" w:w="2500"/>
            <w:shd w:fill="FFFFFF"/>
            <w:tcMar>
              <w:top w:w="80" w:type="dxa"/>
              <w:bottom w:w="80" w:type="dxa"/>
              <w:left w:w="140" w:type="dxa"/>
              <w:right w:w="140" w:type="dxa"/>
            </w:tcMar>
            <w:vAlign w:val="center"/>
          </w:tcPr>
          <w:p>
            <w:pPr>
              <w:spacing w:after="0" w:line="264" w:lineRule="auto"/>
            </w:pPr>
            <w:r/>
            <w:r>
              <w:rPr>
                <w:rFonts w:ascii="Arial" w:hAnsi="Arial"/>
                <w:b/>
                <w:i w:val="0"/>
                <w:color w:val="1F2430"/>
                <w:sz w:val="20"/>
              </w:rPr>
              <w:t>Tax Manager</w:t>
            </w:r>
          </w:p>
        </w:tc>
        <w:tc>
          <w:tcPr>
            <w:tcW w:type="dxa" w:w="68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Material differences blocked before filing so submission risk is reduced.</w:t>
            </w:r>
          </w:p>
        </w:tc>
      </w:tr>
      <w:tr>
        <w:tc>
          <w:tcPr>
            <w:tcW w:type="dxa" w:w="2500"/>
            <w:shd w:fill="FFFFFF"/>
            <w:tcMar>
              <w:top w:w="80" w:type="dxa"/>
              <w:bottom w:w="80" w:type="dxa"/>
              <w:left w:w="140" w:type="dxa"/>
              <w:right w:w="140" w:type="dxa"/>
            </w:tcMar>
            <w:vAlign w:val="center"/>
          </w:tcPr>
          <w:p>
            <w:pPr>
              <w:spacing w:after="0" w:line="264" w:lineRule="auto"/>
            </w:pPr>
            <w:r/>
            <w:r>
              <w:rPr>
                <w:rFonts w:ascii="Arial" w:hAnsi="Arial"/>
                <w:b/>
                <w:i w:val="0"/>
                <w:color w:val="1F2430"/>
                <w:sz w:val="20"/>
              </w:rPr>
              <w:t>User</w:t>
            </w:r>
          </w:p>
        </w:tc>
        <w:tc>
          <w:tcPr>
            <w:tcW w:type="dxa" w:w="68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As an auditor, I want VAT box mapping history so that changes to tax treatment can be reviewed.</w:t>
            </w:r>
          </w:p>
        </w:tc>
      </w:tr>
      <w:tr>
        <w:tc>
          <w:tcPr>
            <w:tcW w:type="dxa" w:w="2500"/>
            <w:shd w:fill="FFFFFF"/>
            <w:tcMar>
              <w:top w:w="80" w:type="dxa"/>
              <w:bottom w:w="80" w:type="dxa"/>
              <w:left w:w="140" w:type="dxa"/>
              <w:right w:w="140" w:type="dxa"/>
            </w:tcMar>
            <w:vAlign w:val="center"/>
          </w:tcPr>
          <w:p>
            <w:pPr>
              <w:spacing w:after="0" w:line="264" w:lineRule="auto"/>
            </w:pPr>
            <w:r/>
            <w:r>
              <w:rPr>
                <w:rFonts w:ascii="Arial" w:hAnsi="Arial"/>
                <w:b/>
                <w:i w:val="0"/>
                <w:color w:val="1F2430"/>
                <w:sz w:val="20"/>
              </w:rPr>
              <w:t>Finance Controller</w:t>
            </w:r>
          </w:p>
        </w:tc>
        <w:tc>
          <w:tcPr>
            <w:tcW w:type="dxa" w:w="68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Filing evidence stored with the pack so audit requests are faster.</w:t>
            </w:r>
          </w:p>
        </w:tc>
      </w:tr>
    </w:tbl>
    <w:p>
      <w:pPr>
        <w:pStyle w:val="Heading1"/>
        <w:keepNext/>
        <w:spacing w:before="360" w:after="160"/>
        <w:pBdr>
          <w:bottom w:val="single" w:sz="10" w:space="4" w:color="2E5C8A"/>
        </w:pBdr>
      </w:pPr>
      <w:r>
        <w:rPr>
          <w:rFonts w:ascii="Arial" w:hAnsi="Arial"/>
          <w:b/>
          <w:i w:val="0"/>
          <w:color w:val="C9A24B"/>
          <w:sz w:val="28"/>
        </w:rPr>
        <w:t xml:space="preserve">12  </w:t>
      </w:r>
      <w:r>
        <w:rPr>
          <w:rFonts w:ascii="Arial" w:hAnsi="Arial"/>
          <w:b/>
          <w:i w:val="0"/>
          <w:color w:val="16243D"/>
          <w:sz w:val="28"/>
        </w:rPr>
        <w:t>UAT Test Cases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250"/>
        <w:gridCol w:w="4055"/>
        <w:gridCol w:w="4055"/>
      </w:tblGrid>
      <w:tr>
        <w:tc>
          <w:tcPr>
            <w:tcW w:type="dxa" w:w="1250"/>
            <w:shd w:fill="16243D"/>
            <w:tcMar>
              <w:top w:w="70" w:type="dxa"/>
              <w:bottom w:w="70" w:type="dxa"/>
              <w:left w:w="130" w:type="dxa"/>
              <w:right w:w="130" w:type="dxa"/>
            </w:tcMar>
          </w:tcPr>
          <w:p>
            <w:pPr>
              <w:spacing w:after="0"/>
            </w:pPr>
            <w:r/>
            <w:r>
              <w:rPr>
                <w:rFonts w:ascii="Arial" w:hAnsi="Arial"/>
                <w:b/>
                <w:i w:val="0"/>
                <w:color w:val="FFFFFF"/>
                <w:sz w:val="16"/>
              </w:rPr>
              <w:t>ID</w:t>
            </w:r>
          </w:p>
        </w:tc>
        <w:tc>
          <w:tcPr>
            <w:tcW w:type="dxa" w:w="4055"/>
            <w:shd w:fill="16243D"/>
            <w:tcMar>
              <w:top w:w="70" w:type="dxa"/>
              <w:bottom w:w="70" w:type="dxa"/>
              <w:left w:w="130" w:type="dxa"/>
              <w:right w:w="130" w:type="dxa"/>
            </w:tcMar>
          </w:tcPr>
          <w:p>
            <w:pPr>
              <w:spacing w:after="0"/>
            </w:pPr>
            <w:r/>
            <w:r>
              <w:rPr>
                <w:rFonts w:ascii="Arial" w:hAnsi="Arial"/>
                <w:b/>
                <w:i w:val="0"/>
                <w:color w:val="FFFFFF"/>
                <w:sz w:val="16"/>
              </w:rPr>
              <w:t>TEST SCENARIO</w:t>
            </w:r>
          </w:p>
        </w:tc>
        <w:tc>
          <w:tcPr>
            <w:tcW w:type="dxa" w:w="4055"/>
            <w:shd w:fill="16243D"/>
            <w:tcMar>
              <w:top w:w="70" w:type="dxa"/>
              <w:bottom w:w="70" w:type="dxa"/>
              <w:left w:w="130" w:type="dxa"/>
              <w:right w:w="130" w:type="dxa"/>
            </w:tcMar>
          </w:tcPr>
          <w:p>
            <w:pPr>
              <w:spacing w:after="0"/>
            </w:pPr>
            <w:r/>
            <w:r>
              <w:rPr>
                <w:rFonts w:ascii="Arial" w:hAnsi="Arial"/>
                <w:b/>
                <w:i w:val="0"/>
                <w:color w:val="FFFFFF"/>
                <w:sz w:val="16"/>
              </w:rPr>
              <w:t>EXPECTED RESULT</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UAT-01</w:t>
            </w:r>
          </w:p>
        </w:tc>
        <w:tc>
          <w:tcPr>
            <w:tcW w:type="dxa" w:w="4055"/>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Source register total does not agree to a VAT return box.</w:t>
            </w:r>
          </w:p>
        </w:tc>
        <w:tc>
          <w:tcPr>
            <w:tcW w:type="dxa" w:w="4055"/>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A reconciling difference is created with owner, amount, and reason fields.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UAT-02</w:t>
            </w:r>
          </w:p>
        </w:tc>
        <w:tc>
          <w:tcPr>
            <w:tcW w:type="dxa" w:w="4055"/>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GL VAT control account does not agree to return liability.</w:t>
            </w:r>
          </w:p>
        </w:tc>
        <w:tc>
          <w:tcPr>
            <w:tcW w:type="dxa" w:w="4055"/>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The variance is flagged and submission readiness is blocked if material.</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UAT-03</w:t>
            </w:r>
          </w:p>
        </w:tc>
        <w:tc>
          <w:tcPr>
            <w:tcW w:type="dxa" w:w="4055"/>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VAT return box mapping is changed.</w:t>
            </w:r>
          </w:p>
        </w:tc>
        <w:tc>
          <w:tcPr>
            <w:tcW w:type="dxa" w:w="4055"/>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The change is versioned and requires finance owner sign-off.</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UAT-04</w:t>
            </w:r>
          </w:p>
        </w:tc>
        <w:tc>
          <w:tcPr>
            <w:tcW w:type="dxa" w:w="4055"/>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Adjustment journal is posted after review.</w:t>
            </w:r>
          </w:p>
        </w:tc>
        <w:tc>
          <w:tcPr>
            <w:tcW w:type="dxa" w:w="4055"/>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Journal reference and approval evidence are stored against the difference.</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UAT-05</w:t>
            </w:r>
          </w:p>
        </w:tc>
        <w:tc>
          <w:tcPr>
            <w:tcW w:type="dxa" w:w="4055"/>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Filing approval is attempted without submission reference.</w:t>
            </w:r>
          </w:p>
        </w:tc>
        <w:tc>
          <w:tcPr>
            <w:tcW w:type="dxa" w:w="4055"/>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Filing evidence is incomplete and approval cannot be finalised.</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UAT-06</w:t>
            </w:r>
          </w:p>
        </w:tc>
        <w:tc>
          <w:tcPr>
            <w:tcW w:type="dxa" w:w="4055"/>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VAT reconciliation pack is exported.</w:t>
            </w:r>
          </w:p>
        </w:tc>
        <w:tc>
          <w:tcPr>
            <w:tcW w:type="dxa" w:w="4055"/>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The pack includes source registers, VAT return boxes, GL VAT control accounts, differences, and filing evidence.</w:t>
            </w:r>
          </w:p>
        </w:tc>
      </w:tr>
    </w:tbl>
    <w:p>
      <w:pPr>
        <w:pStyle w:val="Heading1"/>
        <w:keepNext/>
        <w:spacing w:before="360" w:after="160"/>
        <w:pBdr>
          <w:bottom w:val="single" w:sz="10" w:space="4" w:color="2E5C8A"/>
        </w:pBdr>
      </w:pPr>
      <w:r>
        <w:rPr>
          <w:rFonts w:ascii="Arial" w:hAnsi="Arial"/>
          <w:b/>
          <w:i w:val="0"/>
          <w:color w:val="C9A24B"/>
          <w:sz w:val="28"/>
        </w:rPr>
        <w:t xml:space="preserve">13  </w:t>
      </w:r>
      <w:r>
        <w:rPr>
          <w:rFonts w:ascii="Arial" w:hAnsi="Arial"/>
          <w:b/>
          <w:i w:val="0"/>
          <w:color w:val="16243D"/>
          <w:sz w:val="28"/>
        </w:rPr>
        <w:t>Acceptance Criteria</w:t>
      </w:r>
    </w:p>
    <w:p>
      <w:r>
        <w:t>The implementation is accepted when the following are demonstrable in test evidence:</w:t>
      </w:r>
    </w:p>
    <w:p>
      <w:pPr>
        <w:pStyle w:val="ListParagraph"/>
        <w:ind w:left="403" w:hanging="259"/>
      </w:pPr>
      <w:r>
        <w:rPr>
          <w:rFonts w:ascii="Arial" w:hAnsi="Arial"/>
          <w:b/>
          <w:i w:val="0"/>
          <w:color w:val="1F2430"/>
          <w:sz w:val="19"/>
        </w:rPr>
        <w:t>1. Source registers, VAT return boxes, and GL VAT control accounts are reconciled in one pack.</w:t>
      </w:r>
    </w:p>
    <w:p>
      <w:pPr>
        <w:pStyle w:val="ListParagraph"/>
        <w:ind w:left="403" w:hanging="259"/>
      </w:pPr>
      <w:r>
        <w:rPr>
          <w:rFonts w:ascii="Arial" w:hAnsi="Arial"/>
          <w:b/>
          <w:i w:val="0"/>
          <w:color w:val="1F2430"/>
          <w:sz w:val="19"/>
        </w:rPr>
        <w:t>2. Material differences are owner-assigned and cannot be ignored before filing.</w:t>
      </w:r>
    </w:p>
    <w:p>
      <w:pPr>
        <w:pStyle w:val="ListParagraph"/>
        <w:ind w:left="403" w:hanging="259"/>
      </w:pPr>
      <w:r>
        <w:rPr>
          <w:rFonts w:ascii="Arial" w:hAnsi="Arial"/>
          <w:b/>
          <w:i w:val="0"/>
          <w:color w:val="1F2430"/>
          <w:sz w:val="19"/>
        </w:rPr>
        <w:t>3. VAT box mapping changes are versioned and approved.</w:t>
      </w:r>
    </w:p>
    <w:p>
      <w:pPr>
        <w:pStyle w:val="ListParagraph"/>
        <w:ind w:left="403" w:hanging="259"/>
      </w:pPr>
      <w:r>
        <w:rPr>
          <w:rFonts w:ascii="Arial" w:hAnsi="Arial"/>
          <w:b/>
          <w:i w:val="0"/>
          <w:color w:val="1F2430"/>
          <w:sz w:val="19"/>
        </w:rPr>
        <w:t>4. Filing evidence includes submission reference, approver, and filing date.</w:t>
      </w:r>
    </w:p>
    <w:p>
      <w:pPr>
        <w:pStyle w:val="ListParagraph"/>
        <w:ind w:left="403" w:hanging="259"/>
      </w:pPr>
      <w:r>
        <w:rPr>
          <w:rFonts w:ascii="Arial" w:hAnsi="Arial"/>
          <w:b/>
          <w:i w:val="0"/>
          <w:color w:val="1F2430"/>
          <w:sz w:val="19"/>
        </w:rPr>
        <w:t>5. Adjustments are supported by reason, journal reference, and reviewer sign-off.</w:t>
      </w:r>
    </w:p>
    <w:p>
      <w:pPr>
        <w:pStyle w:val="Heading1"/>
        <w:keepNext/>
        <w:spacing w:before="360" w:after="160"/>
        <w:pBdr>
          <w:bottom w:val="single" w:sz="10" w:space="4" w:color="2E5C8A"/>
        </w:pBdr>
      </w:pPr>
      <w:r>
        <w:rPr>
          <w:rFonts w:ascii="Arial" w:hAnsi="Arial"/>
          <w:b/>
          <w:i w:val="0"/>
          <w:color w:val="C9A24B"/>
          <w:sz w:val="28"/>
        </w:rPr>
        <w:t xml:space="preserve">14  </w:t>
      </w:r>
      <w:r>
        <w:rPr>
          <w:rFonts w:ascii="Arial" w:hAnsi="Arial"/>
          <w:b/>
          <w:i w:val="0"/>
          <w:color w:val="16243D"/>
          <w:sz w:val="28"/>
        </w:rPr>
        <w:t>Implementation Risks and Dependencies</w:t>
      </w:r>
    </w:p>
    <w:p>
      <w:pPr>
        <w:pStyle w:val="ListParagraph"/>
        <w:ind w:left="403" w:hanging="259"/>
      </w:pPr>
      <w:r>
        <w:rPr>
          <w:rFonts w:ascii="Arial" w:hAnsi="Arial"/>
          <w:b w:val="0"/>
          <w:i w:val="0"/>
          <w:color w:val="1F2430"/>
          <w:sz w:val="19"/>
        </w:rPr>
        <w:t>• Tax code mapping must be agreed before configuration.</w:t>
      </w:r>
    </w:p>
    <w:p>
      <w:pPr>
        <w:pStyle w:val="ListParagraph"/>
        <w:ind w:left="403" w:hanging="259"/>
      </w:pPr>
      <w:r>
        <w:rPr>
          <w:rFonts w:ascii="Arial" w:hAnsi="Arial"/>
          <w:b w:val="0"/>
          <w:i w:val="0"/>
          <w:color w:val="1F2430"/>
          <w:sz w:val="19"/>
        </w:rPr>
        <w:t>• GL VAT control accounts may require cleanup before reliable reconciliation.</w:t>
      </w:r>
    </w:p>
    <w:p>
      <w:pPr>
        <w:pStyle w:val="ListParagraph"/>
        <w:ind w:left="403" w:hanging="259"/>
      </w:pPr>
      <w:r>
        <w:rPr>
          <w:rFonts w:ascii="Arial" w:hAnsi="Arial"/>
          <w:b w:val="0"/>
          <w:i w:val="0"/>
          <w:color w:val="1F2430"/>
          <w:sz w:val="19"/>
        </w:rPr>
        <w:t>• Filing approval roles must match the finance governance model.</w:t>
      </w:r>
    </w:p>
    <w:p>
      <w:pPr>
        <w:pStyle w:val="ListParagraph"/>
        <w:ind w:left="403" w:hanging="259"/>
      </w:pPr>
      <w:r>
        <w:rPr>
          <w:rFonts w:ascii="Arial" w:hAnsi="Arial"/>
          <w:b w:val="0"/>
          <w:i w:val="0"/>
          <w:color w:val="1F2430"/>
          <w:sz w:val="19"/>
        </w:rPr>
        <w:t>• External tax advisor review may be required for complex adjustments.</w:t>
      </w:r>
    </w:p>
    <w:p>
      <w:pPr>
        <w:pStyle w:val="ListParagraph"/>
        <w:ind w:left="403" w:hanging="259"/>
      </w:pPr>
      <w:r>
        <w:rPr>
          <w:rFonts w:ascii="Arial" w:hAnsi="Arial"/>
          <w:b w:val="0"/>
          <w:i w:val="0"/>
          <w:color w:val="1F2430"/>
          <w:sz w:val="19"/>
        </w:rPr>
        <w:t>• Multi-entity VAT registrations need clear scope before rollout.</w:t>
      </w:r>
    </w:p>
    <w:p>
      <w:pPr>
        <w:pStyle w:val="Heading1"/>
        <w:keepNext/>
        <w:spacing w:before="360" w:after="160"/>
        <w:pBdr>
          <w:bottom w:val="single" w:sz="10" w:space="4" w:color="2E5C8A"/>
        </w:pBdr>
      </w:pPr>
      <w:r>
        <w:rPr>
          <w:rFonts w:ascii="Arial" w:hAnsi="Arial"/>
          <w:b/>
          <w:i w:val="0"/>
          <w:color w:val="C9A24B"/>
          <w:sz w:val="28"/>
        </w:rPr>
        <w:t xml:space="preserve">15  </w:t>
      </w:r>
      <w:r>
        <w:rPr>
          <w:rFonts w:ascii="Arial" w:hAnsi="Arial"/>
          <w:b/>
          <w:i w:val="0"/>
          <w:color w:val="16243D"/>
          <w:sz w:val="28"/>
        </w:rPr>
        <w:t>Implementation Notes</w:t>
      </w:r>
    </w:p>
    <w:p>
      <w:pPr>
        <w:pStyle w:val="ListParagraph"/>
        <w:ind w:left="403" w:hanging="259"/>
      </w:pPr>
      <w:r>
        <w:rPr>
          <w:rFonts w:ascii="Arial" w:hAnsi="Arial"/>
          <w:b w:val="0"/>
          <w:i w:val="0"/>
          <w:color w:val="1F2430"/>
          <w:sz w:val="19"/>
        </w:rPr>
        <w:t>• Confirm VAT Reconciliation process owner and reviewer roles before design sign-off.</w:t>
      </w:r>
    </w:p>
    <w:p>
      <w:pPr>
        <w:pStyle w:val="ListParagraph"/>
        <w:ind w:left="403" w:hanging="259"/>
      </w:pPr>
      <w:r>
        <w:rPr>
          <w:rFonts w:ascii="Arial" w:hAnsi="Arial"/>
          <w:b w:val="0"/>
          <w:i w:val="0"/>
          <w:color w:val="1F2430"/>
          <w:sz w:val="19"/>
        </w:rPr>
        <w:t>• Validate the required data fields against SAP Business One configuration.</w:t>
      </w:r>
    </w:p>
    <w:p>
      <w:pPr>
        <w:pStyle w:val="ListParagraph"/>
        <w:ind w:left="403" w:hanging="259"/>
      </w:pPr>
      <w:r>
        <w:rPr>
          <w:rFonts w:ascii="Arial" w:hAnsi="Arial"/>
          <w:b w:val="0"/>
          <w:i w:val="0"/>
          <w:color w:val="1F2430"/>
          <w:sz w:val="19"/>
        </w:rPr>
        <w:t>• Run UAT with approved sample scenarios before production data migration or cutover.</w:t>
      </w:r>
    </w:p>
    <w:p>
      <w:pPr>
        <w:pStyle w:val="ListParagraph"/>
        <w:ind w:left="403" w:hanging="259"/>
      </w:pPr>
      <w:r>
        <w:rPr>
          <w:rFonts w:ascii="Arial" w:hAnsi="Arial"/>
          <w:b w:val="0"/>
          <w:i w:val="0"/>
          <w:color w:val="1F2430"/>
          <w:sz w:val="19"/>
        </w:rPr>
        <w:t>• Keep any future AI-assisted drafting behind structured templates and human approval.</w:t>
      </w:r>
    </w:p>
    <w:p>
      <w:pPr>
        <w:spacing w:after="220"/>
      </w:pPr>
    </w:p>
    <w:tbl>
      <w:tblPr>
        <w:tblW w:type="dxa" w:w="9360"/>
        <w:tblLayout w:type="fixed"/>
        <w:tblLook w:firstColumn="1" w:firstRow="1" w:lastColumn="0" w:lastRow="0" w:noHBand="0" w:noVBand="1" w:val="04A0"/>
        <w:tblBorders>
          <w:top w:val="single" w:sz="6" w:space="0" w:color="CFA63A"/>
          <w:left w:val="single" w:sz="18" w:space="0" w:color="CFA63A"/>
          <w:bottom w:val="single" w:sz="6" w:space="0" w:color="CFA63A"/>
          <w:right w:val="single" w:sz="6" w:space="0" w:color="CFA63A"/>
          <w:insideH w:val="single" w:sz="6" w:space="0" w:color="CFA63A"/>
          <w:insideV w:val="single" w:sz="6" w:space="0" w:color="CFA63A"/>
        </w:tblBorders>
      </w:tblPr>
      <w:tblGrid>
        <w:gridCol w:w="9360"/>
      </w:tblGrid>
      <w:tr>
        <w:tc>
          <w:tcPr>
            <w:tcW w:type="dxa" w:w="9360"/>
            <w:shd w:fill="FBF5E7"/>
            <w:tcMar>
              <w:top w:w="150" w:type="dxa"/>
              <w:bottom w:w="150" w:type="dxa"/>
              <w:left w:w="200" w:type="dxa"/>
              <w:right w:w="180" w:type="dxa"/>
            </w:tcMar>
          </w:tcPr>
          <w:p>
            <w:pPr>
              <w:spacing w:after="60"/>
            </w:pPr>
            <w:r/>
            <w:r>
              <w:rPr>
                <w:rFonts w:ascii="Arial" w:hAnsi="Arial"/>
                <w:b/>
                <w:i w:val="0"/>
                <w:color w:val="8A6D1F"/>
                <w:sz w:val="17"/>
              </w:rPr>
              <w:t>PUBLIC-SAFE SAMPLE DATA NOTE</w:t>
            </w:r>
          </w:p>
          <w:p>
            <w:pPr>
              <w:spacing w:after="0"/>
            </w:pPr>
            <w:r>
              <w:rPr>
                <w:rFonts w:ascii="Arial" w:hAnsi="Arial"/>
                <w:b w:val="0"/>
                <w:i w:val="0"/>
                <w:color w:val="3A4253"/>
                <w:sz w:val="19"/>
              </w:rPr>
              <w:t>This pack was generated from fictional, public-safe sample inputs. It does not contain real employer, client, supplier, bank, VAT, payroll, or operational data. Do not upload confidential business information into a public demo.</w:t>
            </w:r>
          </w:p>
        </w:tc>
      </w:tr>
    </w:tbl>
    <w:sectPr w:rsidR="00FC693F" w:rsidRPr="0006063C" w:rsidSect="00034616">
      <w:headerReference w:type="first" r:id="rId9"/>
      <w:footerReference w:type="first" r:id="rId10"/>
      <w:headerReference w:type="default" r:id="rId11"/>
      <w:footerReference w:type="default" r:id="rId12"/>
      <w:pgSz w:w="12240" w:h="15840"/>
      <w:pgMar w:top="1180" w:right="1440" w:bottom="1180" w:left="1440" w:header="317" w:footer="31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spacing w:before="40"/>
      <w:pBdr>
        <w:top w:val="single" w:sz="6" w:space="4" w:color="D9DEE6"/>
      </w:pBdr>
    </w:pPr>
    <w:r>
      <w:rPr>
        <w:rFonts w:ascii="Arial" w:hAnsi="Arial"/>
        <w:b w:val="0"/>
        <w:i w:val="0"/>
        <w:color w:val="6B7280"/>
        <w:sz w:val="15"/>
      </w:rPr>
      <w:t>Chez Solutions  ·  Public-safe sample document</w:t>
    </w:r>
    <w:r>
      <w:rPr>
        <w:rFonts w:ascii="Arial" w:hAnsi="Arial"/>
        <w:b w:val="0"/>
        <w:i w:val="0"/>
        <w:color w:val="6B7280"/>
        <w:sz w:val="15"/>
      </w:rPr>
      <w:tab/>
      <w:t xml:space="preserve">Page </w:t>
    </w:r>
    <w:r>
      <w:rPr>
        <w:rFonts w:ascii="Arial" w:hAnsi="Arial"/>
        <w:color w:val="16243D"/>
        <w:sz w:val="15"/>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after="60"/>
      <w:pBdr>
        <w:bottom w:val="single" w:sz="6" w:space="4" w:color="D9DEE6"/>
      </w:pBdr>
    </w:pPr>
    <w:r/>
    <w:r>
      <w:rPr>
        <w:rFonts w:ascii="Arial" w:hAnsi="Arial"/>
        <w:b/>
        <w:i w:val="0"/>
        <w:color w:val="16243D"/>
        <w:sz w:val="16"/>
      </w:rPr>
      <w:t>VAT Reconciliation Requirements Pack</w:t>
    </w:r>
    <w:r>
      <w:rPr>
        <w:rFonts w:ascii="Arial" w:hAnsi="Arial"/>
        <w:b w:val="0"/>
        <w:i w:val="0"/>
        <w:color w:val="6B7280"/>
        <w:sz w:val="16"/>
      </w:rPr>
      <w:tab/>
      <w:t>Demo Manufacturing Co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color w:val="1F243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Arial" w:hAnsi="Arial"/>
      <w:b/>
      <w:bCs/>
      <w:color w:val="16243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after="80"/>
      <w:ind w:left="720"/>
      <w:contextualSpacing/>
    </w:pPr>
    <w:rPr>
      <w:rFonts w:ascii="Arial" w:hAnsi="Arial"/>
      <w:sz w:val="19"/>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