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B2D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C9972B"/>
                <w:sz w:val="18"/>
              </w:rPr>
            </w:r>
            <w:r>
              <w:rPr>
                <w:rFonts w:ascii="Arial" w:hAnsi="Arial"/>
                <w:b w:val="0"/>
                <w:color w:val="C9972B"/>
                <w:sz w:val="18"/>
              </w:rPr>
              <w:t>FINANCE · ERP IMPLEMENTATION READINESS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56"/>
              </w:rPr>
              <w:t>Month-end Close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C7D3E3"/>
                <w:sz w:val="48"/>
              </w:rPr>
              <w:t>Implementation Readiness Pack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24"/>
              </w:rPr>
              <w:t>Prepared for Cedar Grove Retail Ltd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C7D3E3"/>
                <w:sz w:val="20"/>
              </w:rPr>
              <w:t>Target system: Not selected</w:t>
            </w:r>
          </w:p>
        </w:tc>
      </w:tr>
    </w:tbl>
    <w:p>
      <w:pPr>
        <w:spacing w:before="360" w:after="60"/>
      </w:pPr>
      <w:r>
        <w:rPr>
          <w:rFonts w:ascii="Arial" w:hAnsi="Arial"/>
          <w:b/>
          <w:color w:val="0F1B2D"/>
          <w:sz w:val="20"/>
        </w:rPr>
        <w:t>Prepared by Chez Solutions    |    June 2026    |    Status: Draft for Review</w:t>
      </w:r>
    </w:p>
    <w:p>
      <w:pPr>
        <w:spacing w:before="280" w:after="60"/>
      </w:pPr>
      <w:r>
        <w:rPr>
          <w:rFonts w:ascii="Arial" w:hAnsi="Arial"/>
          <w:b w:val="0"/>
          <w:color w:val="3A4659"/>
          <w:sz w:val="22"/>
        </w:rPr>
        <w:t>Purpose: determine whether the finance process is ready to configure, test, migrate, and implement using traceable requirements, controls, data, UAT, risks, and fit-gap inputs.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008" w:bottom="1037" w:left="1008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t>1. Readiness Summary</w:t>
      </w:r>
    </w:p>
    <w:p>
      <w:r>
        <w:t>This readiness pack translates the approved Month-end Close requirements, controls, data needs, UAT cases, risks, and target-system context into evidence-based implementation review prompts. All checks begin as Not assessed and require finance and implementation team validation.</w:t>
      </w:r>
    </w:p>
    <w:p>
      <w:pPr>
        <w:pStyle w:val="Heading1"/>
        <w:spacing w:before="240" w:after="100"/>
      </w:pPr>
      <w:r>
        <w:t>2. Process Implementation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close calendar defines every task owner, reviewer, dependency, due point, and evidence requirement.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close calendar and responsibility matrix.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FR-02, CTRL-01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journals and high-risk reconciliations cannot reach completion without required approval and sign-off.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journal and reconciliation control workflow.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Close Process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FR-04, FR-05, CTRL-03, CTRL-04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late close tasks, including the control activity: Reviewer sign-off required before high-risk reconciliations are marked complete.</w:t>
              <w:br/>
              <w:br/>
              <w:t>Validation: Close task ownership must be agreed across finance teams.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Store task status changes, evidence uploads, preparer completion, and reviewer sign-off timestamps.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CRM-01, FR-01, UAT-01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manual close status tracking, including the control activity: Manual journals require approval before posting to closed periods.</w:t>
              <w:br/>
              <w:br/>
              <w:t>Validation: Balance sheet reconciliation risk ratings may need finance controller approval.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Record journal submission, approval, rejection, posting, and reversal history.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CRM-02, FR-02, UAT-02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missing reconciliation evidence, including the control activity: Overdue close tasks escalate based on close calendar thresholds.</w:t>
              <w:br/>
              <w:br/>
              <w:t>Validation: Journal approval thresholds must align with delegation of authority.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Preserve reopen reasons and approval decisions for closed tasks.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CRM-03, FR-03, UAT-03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PIC-06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late close tasks, including the control activity: Reopened tasks require reason, requester, approver, and timestamp.</w:t>
              <w:br/>
              <w:br/>
              <w:t>Validation: Legacy spreadsheet trackers may need migration or archive decisions.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Track reconciliation owner/status history for each close period.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CRM-04, FR-04, UAT-04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PIC-07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manual close status tracking, including the control activity: Period close completion requires all mandatory tasks and reconciliations to be signed off.</w:t>
              <w:br/>
              <w:br/>
              <w:t>Validation: Users need discipline to attach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Keep close pack export timestamp, preparer, reviewer, and final approver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CRM-05, FR-05, UAT-05</w:t>
            </w:r>
          </w:p>
        </w:tc>
      </w:tr>
    </w:tbl>
    <w:p>
      <w:pPr>
        <w:pStyle w:val="Heading1"/>
        <w:spacing w:before="240" w:after="100"/>
      </w:pPr>
      <w:r>
        <w:t>3. Target-System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SYS-01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target system, edition, modules, localisation, integrations, and implementation scope for Month-end Close.</w:t>
              <w:br/>
              <w:br/>
              <w:t>Validation: No target-system capability conclusion can be made until the selection and implementation scope are confirmed.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target-system scope and architecture decision.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Finance Transformation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</w:tbl>
    <w:p>
      <w:pPr>
        <w:pStyle w:val="Heading1"/>
        <w:spacing w:before="240" w:after="100"/>
      </w:pPr>
      <w:r>
        <w:t>4. Data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Close period.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Close task ID.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Task owner.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Reviewer.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Balance sheet account.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DR-05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DATA-06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Journal batch reference.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DR-06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DATA-07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Completion evidence link.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DR-07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DATA-08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Sign-off timestamp.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DR-08</w:t>
            </w:r>
          </w:p>
        </w:tc>
      </w:tr>
    </w:tbl>
    <w:p>
      <w:pPr>
        <w:pStyle w:val="Heading1"/>
        <w:spacing w:before="240" w:after="100"/>
      </w:pPr>
      <w:r>
        <w:t>5. Controls and UAT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Reviewer sign-off required before high-risk reconciliations are marked complete.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Reviewer sign-off is blocked until evidence is attached. Audit evidence must also support Store task status changes, evidence uploads, preparer completion, and reviewer sign-off timestamps.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CTRL-01, AUD-01, RPT-01, UAT-02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Manual journals require approval before posting to closed periods.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Posting is blocked until the correct approver signs off. Audit evidence must also support Record journal submission, approval, rejection, posting, and reversal history.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CTRL-02, AUD-02, RPT-02, UAT-03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Overdue close tasks escalate based on close calendar thresholds.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The pack includes task completion, reconciliations, journals, overdue items, and sign-off evidence. Audit evidence must also support Preserve reopen reasons and approval decisions for closed tasks.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CTRL-03, AUD-03, RPT-03, UAT-06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Reopened tasks require reason, requester, approver, and timestamp.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Reopen reason, requester, approver, and timestamp are recorded. Audit evidence must also support Track reconciliation owner/status history for each close period.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CTRL-04, AUD-04, RPT-04, UAT-04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Period close completion requires all mandatory tasks and reconciliations to be signed off.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The pack includes task completion, reconciliations, journals, overdue items, and sign-off evidence. Audit evidence must also support Keep close pack export timestamp, preparer, reviewer, and final approver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CTRL-05, AUD-05, RPT-05, UAT-06</w:t>
            </w:r>
          </w:p>
        </w:tc>
      </w:tr>
    </w:tbl>
    <w:p>
      <w:pPr>
        <w:pStyle w:val="Heading1"/>
        <w:spacing w:before="240" w:after="100"/>
      </w:pPr>
      <w:r>
        <w:t>6. Configuration Workshop Questions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Implementation Relevance</w:t>
            </w:r>
          </w:p>
        </w:tc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1008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CWQ-01</w:t>
            </w:r>
          </w:p>
        </w:tc>
        <w:tc>
          <w:tcPr>
            <w:tcW w:type="dxa" w:w="403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Which close tasks are entity-specific, group-wide, dependent, recurring, or conditional?</w:t>
            </w:r>
          </w:p>
        </w:tc>
        <w:tc>
          <w:tcPr>
            <w:tcW w:type="dxa" w:w="396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Defines reusable close templates and dependency sequencing.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DR-01, UAT-01</w:t>
            </w:r>
          </w:p>
        </w:tc>
      </w:tr>
      <w:tr>
        <w:tc>
          <w:tcPr>
            <w:tcW w:type="dxa" w:w="1008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CWQ-02</w:t>
            </w:r>
          </w:p>
        </w:tc>
        <w:tc>
          <w:tcPr>
            <w:tcW w:type="dxa" w:w="403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Which reconciliation risk ratings require additional review or evidence?</w:t>
            </w:r>
          </w:p>
        </w:tc>
        <w:tc>
          <w:tcPr>
            <w:tcW w:type="dxa" w:w="396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Aligns reconciliation workflow with finance risk policy.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FR-04, CTRL-03, UAT-03</w:t>
            </w:r>
          </w:p>
        </w:tc>
      </w:tr>
      <w:tr>
        <w:tc>
          <w:tcPr>
            <w:tcW w:type="dxa" w:w="1008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CWQ-03</w:t>
            </w:r>
          </w:p>
        </w:tc>
        <w:tc>
          <w:tcPr>
            <w:tcW w:type="dxa" w:w="403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Which journal types and thresholds require preparer, reviewer, and final approver separation?</w:t>
            </w:r>
          </w:p>
        </w:tc>
        <w:tc>
          <w:tcPr>
            <w:tcW w:type="dxa" w:w="396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Establishes journal workflow and segregation before configuration.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FR-05, CTRL-04, UAT-04</w:t>
            </w:r>
          </w:p>
        </w:tc>
      </w:tr>
    </w:tbl>
    <w:p>
      <w:pPr>
        <w:pStyle w:val="Heading1"/>
        <w:spacing w:before="240" w:after="100"/>
      </w:pPr>
      <w:r>
        <w:t>7. Cutover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 migration or archive treatment for legacy close trackers and evidence links.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Signed tracker transition plan and retained-evidence inventory.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Close Process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DR-08, RISK-04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Load and dry-run the first close calendar with owners, dependencies, and reviewer capacity confirmed.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Completed mock close with documented timing and unresolved gaps.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RISK-01</w:t>
            </w:r>
          </w:p>
        </w:tc>
      </w:tr>
    </w:tbl>
    <w:p>
      <w:pPr>
        <w:pStyle w:val="Heading1"/>
        <w:spacing w:before="240" w:after="100"/>
      </w:pPr>
      <w:r>
        <w:t>8. Open Decisions and Dependencies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Decision Required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Dependency / Impact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DEC-00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target ERP or finance system, edition, modules, localisation, integration boundaries, and implementation scope.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Target-system readiness and detailed configuration workshops remain provisional until this selection is approved.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Finance Transformation Lead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Close task ownership must be agreed across finance teams.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RISK-01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Balance sheet reconciliation risk ratings may need finance controller approval.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RISK-02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Journal approval thresholds must align with delegation of authority.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RISK-03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Legacy spreadsheet trackers may need migration or archive decisions.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RISK-04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Users need discipline to attach evidence before sign-off.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Financial Controller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RISK-05</w:t>
            </w:r>
          </w:p>
        </w:tc>
      </w:tr>
    </w:tbl>
    <w:p>
      <w:pPr>
        <w:pStyle w:val="Heading1"/>
        <w:spacing w:before="240" w:after="100"/>
      </w:pPr>
      <w:r>
        <w:t>9. Source Traceability</w:t>
      </w:r>
    </w:p>
    <w:p>
      <w:r>
        <w:t>References connect readiness prompts to generated requirements, controls, reports, audit needs, UAT cases, risks, fit-gap rows, and control-risk matrix rows.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Readiness Item</w:t>
            </w:r>
          </w:p>
        </w:tc>
        <w:tc>
          <w:tcPr>
            <w:tcW w:type="dxa" w:w="5112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 References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FR-02, CTRL-01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FR-04, FR-05, CTRL-03, CTRL-04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CRM-01, FR-01, UAT-01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CRM-02, FR-02, UAT-02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CRM-03, FR-03, UAT-03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PIC-06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CRM-04, FR-04, UAT-04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PIC-07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CRM-05, FR-05, UAT-05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SYS-01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DR-05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DATA-06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DR-06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DATA-07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DR-07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DATA-08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DR-08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CTRL-01, AUD-01, RPT-01, UAT-02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CTRL-02, AUD-02, RPT-02, UAT-03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CTRL-03, AUD-03, RPT-03, UAT-06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CTRL-04, AUD-04, RPT-04, UAT-04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CTRL-05, AUD-05, RPT-05, UAT-06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DR-08, RISK-04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RISK-01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DR-01, UAT-01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FR-04, CTRL-03, UAT-03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FR-05, CTRL-04, UAT-04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DEC-00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RISK-05</w:t>
            </w:r>
          </w:p>
        </w:tc>
      </w:tr>
    </w:tbl>
    <w:p>
      <w:pPr>
        <w:pStyle w:val="Heading1"/>
        <w:spacing w:before="240" w:after="100"/>
      </w:pPr>
      <w:r>
        <w:t>10. Public-Safe Sample Data Note</w:t>
      </w:r>
    </w:p>
    <w:p>
      <w:pPr>
        <w:pStyle w:val="IntenseQuote"/>
      </w:pPr>
      <w:r>
        <w:t>This pack was generated from fictional, public-safe sample inputs. It does not contain real employer, client, supplier, bank, VAT, payroll, or operational data. Do not upload confidential business information into a public demo.</w:t>
      </w:r>
    </w:p>
    <w:sectPr w:rsidR="00FC693F" w:rsidRPr="0006063C" w:rsidSect="00034616"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jc w:val="center"/>
    </w:pPr>
    <w:r>
      <w:rPr>
        <w:rFonts w:ascii="Arial" w:hAnsi="Arial"/>
        <w:b w:val="0"/>
        <w:color w:val="6B7280"/>
        <w:sz w:val="16"/>
      </w:rPr>
      <w:t xml:space="preserve">Chez Solutions | Public-safe sample document | Page </w:t>
    </w:r>
    <w:r>
      <w:rPr>
        <w:rFonts w:ascii="Arial" w:hAnsi="Arial"/>
        <w:b w:val="0"/>
        <w:color w:val="6B72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Arial" w:hAnsi="Arial"/>
        <w:b w:val="0"/>
        <w:color w:val="0F1B2D"/>
        <w:sz w:val="16"/>
      </w:rPr>
      <w:t>Month-end Close Implementation Readiness Pack | Cedar Grove Retail Ltd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B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B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B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