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B2D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C9972B"/>
                <w:sz w:val="18"/>
              </w:rPr>
            </w:r>
            <w:r>
              <w:rPr>
                <w:rFonts w:ascii="Arial" w:hAnsi="Arial"/>
                <w:b w:val="0"/>
                <w:color w:val="C9972B"/>
                <w:sz w:val="18"/>
              </w:rPr>
              <w:t>FINANCE · ERP IMPLEMENTATION READINESS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56"/>
              </w:rPr>
              <w:t>Accounts Payable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7D3E3"/>
                <w:sz w:val="48"/>
              </w:rPr>
              <w:t>Implementation Readiness Pack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24"/>
              </w:rPr>
              <w:t>Prepared for Northstar Trading Ltd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C7D3E3"/>
                <w:sz w:val="20"/>
              </w:rPr>
              <w:t>Target system: Not selected</w:t>
            </w:r>
          </w:p>
        </w:tc>
      </w:tr>
    </w:tbl>
    <w:p>
      <w:pPr>
        <w:spacing w:before="360" w:after="60"/>
      </w:pPr>
      <w:r>
        <w:rPr>
          <w:rFonts w:ascii="Arial" w:hAnsi="Arial"/>
          <w:b/>
          <w:color w:val="0F1B2D"/>
          <w:sz w:val="20"/>
        </w:rPr>
        <w:t>Prepared by Chez Solutions    |    June 2026    |    Status: Draft for Review</w:t>
      </w:r>
    </w:p>
    <w:p>
      <w:pPr>
        <w:spacing w:before="280" w:after="60"/>
      </w:pPr>
      <w:r>
        <w:rPr>
          <w:rFonts w:ascii="Arial" w:hAnsi="Arial"/>
          <w:b w:val="0"/>
          <w:color w:val="3A4659"/>
          <w:sz w:val="22"/>
        </w:rPr>
        <w:t>Purpose: determine whether the finance process is ready to configure, test, migrate, and implement using traceable requirements, controls, data, UAT, risks, and fit-gap inputs.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08" w:bottom="1037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t>1. Readiness Summary</w:t>
      </w:r>
    </w:p>
    <w:p>
      <w:r>
        <w:t>This readiness pack translates the approved Accounts Payable requirements, controls, data needs, UAT cases, risks, and target-system context into evidence-based implementation review prompts. All checks begin as Not assessed and require finance and implementation team validation.</w:t>
      </w:r>
    </w:p>
    <w:p>
      <w:pPr>
        <w:pStyle w:val="Heading1"/>
        <w:spacing w:before="240" w:after="100"/>
      </w:pPr>
      <w:r>
        <w:t>2. Process Implementation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invoice intake, matching, approval, and payment-readiness states are signed off end to end.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AP workflow showing owners, thresholds, exception routes, and payment holds.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FR-04, FR-05, CTRL-02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supplier master and bank-detail changes are segregated from invoice and payment approval.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role matrix and sensitive supplier-field change procedure.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FR-06, CTRL-03, AUD-03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duplicate invoices, including the control activity: Duplicate invoice warning before approval or payment release.</w:t>
              <w:br/>
              <w:br/>
              <w:t>Validation: Supplier master data may require cleansing before controls can operate reliably.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Store invoice creation, coding, approval, rejection, and payment readiness timestamps.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manual approval chasing, including the control activity: Approval threshold control by amount and cost centre.</w:t>
              <w:br/>
              <w:br/>
              <w:t>Validation: Purchase order and goods receipt data must be available for three-way match readiness.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Record every approval decision with approver, date, amount, and delegation status.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weak supplier master controls, including the control activity: Supplier bank detail change review before first payment after change.</w:t>
              <w:br/>
              <w:br/>
              <w:t>Validation: Delegated approval rules must be signed off by finance leadership.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Keep before-and-after supplier master data values for sensitive changes.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duplicate invoices, including the control activity: Three-way match exception review for PO-backed purchases.</w:t>
              <w:br/>
              <w:br/>
              <w:t>Validation: Payment platform integration scope must be confirmed before build.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Preserve evidence links for invoice image, purchase order, goods receipt, and payment batch.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manual approval chasing, including the control activity: Segregation of duties control between supplier maintenance and payment approval.</w:t>
              <w:br/>
              <w:br/>
              <w:t>Validation: Users need training on exception reason codes to avoid inconsistent reporting.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Track exception resolution notes and reviewer sign-off.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</w:tbl>
    <w:p>
      <w:pPr>
        <w:pStyle w:val="Heading1"/>
        <w:spacing w:before="240" w:after="100"/>
      </w:pPr>
      <w:r>
        <w:t>3. Target-System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system, edition, modules, localisation, integrations, and implementation scope for Accounts Payable.</w:t>
              <w:br/>
              <w:br/>
              <w:t>Validation: No target-system capability conclusion can be made until the selection and implementation scope are confirmed.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target-system scope and architecture decision.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</w:tbl>
    <w:p>
      <w:pPr>
        <w:pStyle w:val="Heading1"/>
        <w:spacing w:before="240" w:after="100"/>
      </w:pPr>
      <w:r>
        <w:t>4. Data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Supplier master ID.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Supplier invoice number.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Purchase order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Goods receipt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Invoice gross amount.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Tax amount.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Approval owner.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Payment batch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</w:tbl>
    <w:p>
      <w:pPr>
        <w:pStyle w:val="Heading1"/>
        <w:spacing w:before="240" w:after="100"/>
      </w:pPr>
      <w:r>
        <w:t>5. Controls and UAT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Duplicate invoice warning before approval or payment release.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system flags the invoice and blocks payment readiness until reviewed. Audit evidence must also support Store invoice creation, coding, approval, rejection, and payment readiness timestamps.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Approval threshold control by amount and cost centre.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Approval routes to the higher authority approver. Audit evidence must also support Record every approval decision with approver, date, amount, and delegation status.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Supplier bank detail change review before first payment after change.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payment is held until supplier master review is complete. Audit evidence must also support Keep before-and-after supplier master data values for sensitive changes.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Three-way match exception review for PO-backed purchases.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invoice appears in the three-way match exception queue. Audit evidence must also support Preserve evidence links for invoice image, purchase order, goods receipt, and payment batch.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Segregation of duties control between supplier maintenance and payment approval.</w:t>
              <w:br/>
              <w:br/>
              <w:t>Validation: No directly aligned UAT case was identified; add one before control design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 dedicated positive and negative-path UAT case must be defined. Audit evidence must also support Track exception resolution notes and reviewer sign-off.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</w:t>
            </w:r>
          </w:p>
        </w:tc>
      </w:tr>
    </w:tbl>
    <w:p>
      <w:pPr>
        <w:pStyle w:val="Heading1"/>
        <w:spacing w:before="240" w:after="100"/>
      </w:pPr>
      <w:r>
        <w:t>6. Configuration Workshop Questions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Implementation Relevance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supplier, invoice, currency, amount, and date combinations should trigger duplicate-invoice review?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Defines duplicate detection configuration without blocking legitimate recurring invoices.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FR-02, CTRL-01, UAT-01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How should approval thresholds vary by cost centre, amount, supplier category, and delegation status?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Establishes AP routing and delegation rules before workflow configuration.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CTRL-02, UAT-03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exceptions can proceed without purchase-order or goods-receipt evidence, and who approves them?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Defines controlled non-PO and match-exception treatment.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CTRL-04, UAT-02</w:t>
            </w:r>
          </w:p>
        </w:tc>
      </w:tr>
    </w:tbl>
    <w:p>
      <w:pPr>
        <w:pStyle w:val="Heading1"/>
        <w:spacing w:before="240" w:after="100"/>
      </w:pPr>
      <w:r>
        <w:t>7. Cutover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Cleanse supplier masters, duplicate suppliers, bank details, tax identifiers, and payment terms before migration.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Signed supplier cleansing results and unresolved-exception log.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Supplier Master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DR-01, RISK-01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Resolve or explicitly migrate blocked invoices and unmatched purchase-order or receipt exceptions.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open-item migration treatment and reconciliation totals.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DR-03, DR-04, RISK-02</w:t>
            </w:r>
          </w:p>
        </w:tc>
      </w:tr>
    </w:tbl>
    <w:p>
      <w:pPr>
        <w:pStyle w:val="Heading1"/>
        <w:spacing w:before="240" w:after="100"/>
      </w:pPr>
      <w:r>
        <w:t>8. Open Decisions and Dependencies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Dependency / Impact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ERP or finance system, edition, modules, localisation, integration boundaries, and implementation scope.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Target-system readiness and detailed configuration workshops remain provisional until this selection is approved.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Supplier master data may require cleansing before controls can operate reliably.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Purchase order and goods receipt data must be available for three-way match readiness.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Delegated approval rules must be signed off by finance leadership.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Payment platform integration scope must be confirmed before build.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Users need training on exception reason codes to avoid inconsistent reporting.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Accounts Payable Process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9. Source Traceability</w:t>
      </w:r>
    </w:p>
    <w:p>
      <w:r>
        <w:t>References connect readiness prompts to generated requirements, controls, reports, audit needs, UAT cases, risks, fit-gap rows, and control-risk matrix rows.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Readiness Item</w:t>
            </w:r>
          </w:p>
        </w:tc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 References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FR-04, FR-05, CTRL-02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FR-06, CTRL-03, AUD-03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DR-01, RISK-01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DR-03, DR-04, RISK-02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FR-02, CTRL-01,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CTRL-02,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CTRL-04,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10. Public-Safe Sample Data Note</w:t>
      </w:r>
    </w:p>
    <w:p>
      <w:pPr>
        <w:pStyle w:val="IntenseQuote"/>
      </w:pPr>
      <w:r>
        <w:t>This pack was generated from fictional, public-safe sample inputs. It does not contain real employer, client, supplier, bank, VAT, payroll, or operational data. Do not upload confidential business information into a public demo.</w:t>
      </w:r>
    </w:p>
    <w:sectPr w:rsidR="00FC693F" w:rsidRPr="0006063C" w:rsidSect="00034616"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jc w:val="center"/>
    </w:pPr>
    <w:r>
      <w:rPr>
        <w:rFonts w:ascii="Arial" w:hAnsi="Arial"/>
        <w:b w:val="0"/>
        <w:color w:val="6B7280"/>
        <w:sz w:val="16"/>
      </w:rPr>
      <w:t xml:space="preserve">Chez Solutions | Public-safe sample document | Page </w:t>
    </w:r>
    <w:r>
      <w:rPr>
        <w:rFonts w:ascii="Arial" w:hAnsi="Arial"/>
        <w:b w:val="0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Arial" w:hAnsi="Arial"/>
        <w:b w:val="0"/>
        <w:color w:val="0F1B2D"/>
        <w:sz w:val="16"/>
      </w:rPr>
      <w:t>Accounts Payable Implementation Readiness Pack | Northstar Trading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B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B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B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