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Receivable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Harbour Lane Services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Harbour Lane Services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Receivable requirements for the agreed professional services group process.</w:t>
            </w:r>
          </w:p>
          <w:p>
            <w:pPr>
              <w:spacing w:after="70"/>
            </w:pPr>
            <w:r>
              <w:rPr>
                <w:rFonts w:ascii="Arial" w:hAnsi="Arial"/>
                <w:b w:val="0"/>
                <w:i w:val="0"/>
                <w:color w:val="1F2430"/>
                <w:sz w:val="19"/>
              </w:rPr>
              <w:t>• Workflow, data, controls, reporting, audit trail, and UAT requirements for NetSuite.</w:t>
            </w:r>
          </w:p>
          <w:p>
            <w:pPr>
              <w:spacing w:after="70"/>
            </w:pPr>
            <w:r>
              <w:rPr>
                <w:rFonts w:ascii="Arial" w:hAnsi="Arial"/>
                <w:b w:val="0"/>
                <w:i w:val="0"/>
                <w:color w:val="1F2430"/>
                <w:sz w:val="19"/>
              </w:rPr>
              <w:t>• Process pain points covering unallocated customer receipts, disputed invoices, and collections ageing visibility.</w:t>
            </w:r>
          </w:p>
          <w:p>
            <w:pPr>
              <w:spacing w:after="70"/>
            </w:pPr>
            <w:r>
              <w:rPr>
                <w:rFonts w:ascii="Arial" w:hAnsi="Arial"/>
                <w:b w:val="0"/>
                <w:i w:val="0"/>
                <w:color w:val="1F2430"/>
                <w:sz w:val="19"/>
              </w:rPr>
              <w:t>• Reporting requirement: Customer ageing, dispute status, unallocated cash, and collections owner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Receivable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Receivable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customer invoice number, customer account, invoice date, due date, currency, tax amount,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customer receipts to open invoices using customer reference, amount, remittance advice, and bank receipt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with owner, ageing, reason code, and expected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invoice disputes with dispute type, owner, status, value, and target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credit notes and write-offs through approval thresholds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customer master data changes for payment terms, credit limits, billing contacts, and tax identifiers.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collections ageing views by customer, region, owner, and risk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Link dunning activity, customer responses, and promise-to-pay dates to the customer account.</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 advice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status</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owner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limit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notes require approval based on amount, reason code, and customer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require finance owner review.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Unallocated cash over the policy threshold escalates to the collections lead.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Write-offs require supporting evidence and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Receipts cannot be marked resolved without allocation or approved reason code.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Customer ageing, dispute status, unallocated cash, and collections owner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Receivable.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posting, receipt matching, dispute creation, credit note approval, and write-off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customer master data changes with old value, new value, requester, reviewer, and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collections notes, dunning actions, and promise-to-pay updates.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approval evidence for credit notes, write-offs, and credit limit changes.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Cash Allocator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Remittance-backed receipt matching so unallocated cash is reduced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Collections Analyst</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disputed invoices by owner so customer follow-up is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Credit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reviewed so exposure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approval evidence so revenue adjustments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approvals and customer master changes traceable by user and date.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receipt arrives without a matching invoice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receipt is marked unallocated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placed into dispute by the collections team.</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type, owner, value, status, and target resolution date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exceeds the standard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approval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is increased.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requester, reviewer, and approval timestamp are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write-off is requested for an aged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Supporting evidence and approval are required before write-off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ageing report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Report shows customer, invoice, ageing bucket, owner, dispute status, and next action.</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Unallocated receipts show owner, ageing, reason code, and expected resolution action.</w:t>
      </w:r>
    </w:p>
    <w:p>
      <w:pPr>
        <w:pStyle w:val="ListParagraph"/>
        <w:ind w:left="403" w:hanging="259"/>
      </w:pPr>
      <w:r>
        <w:rPr>
          <w:rFonts w:ascii="Arial" w:hAnsi="Arial"/>
          <w:b/>
          <w:i w:val="0"/>
          <w:color w:val="1F2430"/>
          <w:sz w:val="19"/>
        </w:rPr>
        <w:t>2. Disputed invoices are visible in AR ageing and cannot be hidden from collections reporting.</w:t>
      </w:r>
    </w:p>
    <w:p>
      <w:pPr>
        <w:pStyle w:val="ListParagraph"/>
        <w:ind w:left="403" w:hanging="259"/>
      </w:pPr>
      <w:r>
        <w:rPr>
          <w:rFonts w:ascii="Arial" w:hAnsi="Arial"/>
          <w:b/>
          <w:i w:val="0"/>
          <w:color w:val="1F2430"/>
          <w:sz w:val="19"/>
        </w:rPr>
        <w:t>3. Credit notes and write-offs require approval evidence before posting.</w:t>
      </w:r>
    </w:p>
    <w:p>
      <w:pPr>
        <w:pStyle w:val="ListParagraph"/>
        <w:ind w:left="403" w:hanging="259"/>
      </w:pPr>
      <w:r>
        <w:rPr>
          <w:rFonts w:ascii="Arial" w:hAnsi="Arial"/>
          <w:b/>
          <w:i w:val="0"/>
          <w:color w:val="1F2430"/>
          <w:sz w:val="19"/>
        </w:rPr>
        <w:t>4. Customer master changes for credit limits and payment terms are auditable.</w:t>
      </w:r>
    </w:p>
    <w:p>
      <w:pPr>
        <w:pStyle w:val="ListParagraph"/>
        <w:ind w:left="403" w:hanging="259"/>
      </w:pPr>
      <w:r>
        <w:rPr>
          <w:rFonts w:ascii="Arial" w:hAnsi="Arial"/>
          <w:b/>
          <w:i w:val="0"/>
          <w:color w:val="1F2430"/>
          <w:sz w:val="19"/>
        </w:rPr>
        <w:t>5. Collections reporting shows ageing, risk, owner, and next action without manual rework.</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Customer remittance reference quality may limit automated matching rates.</w:t>
      </w:r>
    </w:p>
    <w:p>
      <w:pPr>
        <w:pStyle w:val="ListParagraph"/>
        <w:ind w:left="403" w:hanging="259"/>
      </w:pPr>
      <w:r>
        <w:rPr>
          <w:rFonts w:ascii="Arial" w:hAnsi="Arial"/>
          <w:b w:val="0"/>
          <w:i w:val="0"/>
          <w:color w:val="1F2430"/>
          <w:sz w:val="19"/>
        </w:rPr>
        <w:t>• Historic unallocated cash may need cleanup before go-live.</w:t>
      </w:r>
    </w:p>
    <w:p>
      <w:pPr>
        <w:pStyle w:val="ListParagraph"/>
        <w:ind w:left="403" w:hanging="259"/>
      </w:pPr>
      <w:r>
        <w:rPr>
          <w:rFonts w:ascii="Arial" w:hAnsi="Arial"/>
          <w:b w:val="0"/>
          <w:i w:val="0"/>
          <w:color w:val="1F2430"/>
          <w:sz w:val="19"/>
        </w:rPr>
        <w:t>• Credit policy thresholds must be approved by finance leadership.</w:t>
      </w:r>
    </w:p>
    <w:p>
      <w:pPr>
        <w:pStyle w:val="ListParagraph"/>
        <w:ind w:left="403" w:hanging="259"/>
      </w:pPr>
      <w:r>
        <w:rPr>
          <w:rFonts w:ascii="Arial" w:hAnsi="Arial"/>
          <w:b w:val="0"/>
          <w:i w:val="0"/>
          <w:color w:val="1F2430"/>
          <w:sz w:val="19"/>
        </w:rPr>
        <w:t>• Sales and finance ownership of disputes must be agreed before workflow design.</w:t>
      </w:r>
    </w:p>
    <w:p>
      <w:pPr>
        <w:pStyle w:val="ListParagraph"/>
        <w:ind w:left="403" w:hanging="259"/>
      </w:pPr>
      <w:r>
        <w:rPr>
          <w:rFonts w:ascii="Arial" w:hAnsi="Arial"/>
          <w:b w:val="0"/>
          <w:i w:val="0"/>
          <w:color w:val="1F2430"/>
          <w:sz w:val="19"/>
        </w:rPr>
        <w:t>• Customer master data may need cleansing before credit controls are reliable.</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Receivable process owner and reviewer roles before design sign-off.</w:t>
      </w:r>
    </w:p>
    <w:p>
      <w:pPr>
        <w:pStyle w:val="ListParagraph"/>
        <w:ind w:left="403" w:hanging="259"/>
      </w:pPr>
      <w:r>
        <w:rPr>
          <w:rFonts w:ascii="Arial" w:hAnsi="Arial"/>
          <w:b w:val="0"/>
          <w:i w:val="0"/>
          <w:color w:val="1F2430"/>
          <w:sz w:val="19"/>
        </w:rPr>
        <w:t>• Validate the required data fields against NetSuite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Receivable Requirements Pack</w:t>
    </w:r>
    <w:r>
      <w:rPr>
        <w:rFonts w:ascii="Arial" w:hAnsi="Arial"/>
        <w:b w:val="0"/>
        <w:i w:val="0"/>
        <w:color w:val="6B7280"/>
        <w:sz w:val="16"/>
      </w:rPr>
      <w:tab/>
      <w:t>Harbour Lane Services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