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18"/>
        </w:rPr>
        <w:t>FINANCE / ERP IMPLEMENTATION</w:t>
      </w:r>
    </w:p>
    <w:p>
      <w:pPr>
        <w:pStyle w:val="Title"/>
        <w:jc w:val="center"/>
      </w:pPr>
      <w:r>
        <w:rPr>
          <w:b/>
        </w:rPr>
        <w:t>Bank Reconciliation</w:t>
        <w:br/>
        <w:t>Requirements Pack</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E5E7EB"/>
          </w:tcPr>
          <w:p>
            <w:r>
              <w:rPr>
                <w:b/>
              </w:rPr>
              <w:t>Prepared for</w:t>
            </w:r>
          </w:p>
        </w:tc>
        <w:tc>
          <w:tcPr>
            <w:tcW w:type="dxa" w:w="5184"/>
            <w:vAlign w:val="top"/>
          </w:tcPr>
          <w:p>
            <w:r>
              <w:t>BlueRiver Foods Ltd</w:t>
            </w:r>
          </w:p>
        </w:tc>
      </w:tr>
      <w:tr>
        <w:tc>
          <w:tcPr>
            <w:tcW w:type="dxa" w:w="5184"/>
            <w:vAlign w:val="top"/>
            <w:shd w:fill="E5E7EB"/>
          </w:tcPr>
          <w:p>
            <w:r>
              <w:rPr>
                <w:b/>
              </w:rPr>
              <w:t>Prepared by</w:t>
            </w:r>
          </w:p>
        </w:tc>
        <w:tc>
          <w:tcPr>
            <w:tcW w:type="dxa" w:w="5184"/>
            <w:vAlign w:val="top"/>
          </w:tcPr>
          <w:p>
            <w:r>
              <w:t>Chez Solutions</w:t>
            </w:r>
          </w:p>
        </w:tc>
      </w:tr>
      <w:tr>
        <w:tc>
          <w:tcPr>
            <w:tcW w:type="dxa" w:w="5184"/>
            <w:vAlign w:val="top"/>
            <w:shd w:fill="E5E7EB"/>
          </w:tcPr>
          <w:p>
            <w:r>
              <w:rPr>
                <w:b/>
              </w:rPr>
              <w:t>Date</w:t>
            </w:r>
          </w:p>
        </w:tc>
        <w:tc>
          <w:tcPr>
            <w:tcW w:type="dxa" w:w="5184"/>
            <w:vAlign w:val="top"/>
          </w:tcPr>
          <w:p>
            <w:r>
              <w:t>19 June 2026</w:t>
            </w:r>
          </w:p>
        </w:tc>
      </w:tr>
      <w:tr>
        <w:tc>
          <w:tcPr>
            <w:tcW w:type="dxa" w:w="5184"/>
            <w:vAlign w:val="top"/>
            <w:shd w:fill="E5E7EB"/>
          </w:tcPr>
          <w:p>
            <w:r>
              <w:rPr>
                <w:b/>
              </w:rPr>
              <w:t>Status</w:t>
            </w:r>
          </w:p>
        </w:tc>
        <w:tc>
          <w:tcPr>
            <w:tcW w:type="dxa" w:w="5184"/>
            <w:vAlign w:val="top"/>
          </w:tcPr>
          <w:p>
            <w:r>
              <w:t>Draft for Review</w:t>
            </w:r>
          </w:p>
        </w:tc>
      </w:tr>
      <w:tr>
        <w:tc>
          <w:tcPr>
            <w:tcW w:type="dxa" w:w="5184"/>
            <w:vAlign w:val="top"/>
            <w:shd w:fill="E5E7EB"/>
          </w:tcPr>
          <w:p>
            <w:r>
              <w:rPr>
                <w:b/>
              </w:rPr>
              <w:t>Document type</w:t>
            </w:r>
          </w:p>
        </w:tc>
        <w:tc>
          <w:tcPr>
            <w:tcW w:type="dxa" w:w="5184"/>
            <w:vAlign w:val="top"/>
          </w:tcPr>
          <w:p>
            <w:r>
              <w:t>Finance systems requirements pack</w:t>
            </w:r>
          </w:p>
        </w:tc>
      </w:tr>
    </w:tbl>
    <w:p/>
    <w:tbl>
      <w:tblPr>
        <w:tblW w:type="auto" w:w="0"/>
        <w:jc w:val="center"/>
        <w:tblLook w:firstColumn="1" w:firstRow="1" w:lastColumn="0" w:lastRow="0" w:noHBand="0" w:noVBand="1" w:val="04A0"/>
      </w:tblPr>
      <w:tblGrid>
        <w:gridCol w:w="2074"/>
        <w:gridCol w:w="2074"/>
        <w:gridCol w:w="2074"/>
        <w:gridCol w:w="2074"/>
        <w:gridCol w:w="2074"/>
      </w:tblGrid>
      <w:tr>
        <w:tc>
          <w:tcPr>
            <w:tcW w:type="dxa" w:w="2074"/>
            <w:shd w:fill="EFF6FF"/>
            <w:vAlign w:val="center"/>
          </w:tcPr>
          <w:p>
            <w:r/>
            <w:r>
              <w:rPr>
                <w:b/>
                <w:color w:val="1E40AF"/>
                <w:sz w:val="14"/>
              </w:rPr>
              <w:t>VOLUME</w:t>
            </w:r>
          </w:p>
          <w:p>
            <w:pPr>
              <w:jc w:val="center"/>
            </w:pPr>
            <w:r>
              <w:rPr>
                <w:b/>
                <w:sz w:val="18"/>
              </w:rPr>
              <w:t>8 bank accounts with roughly 4,500 statement lines per month</w:t>
            </w:r>
          </w:p>
        </w:tc>
        <w:tc>
          <w:tcPr>
            <w:tcW w:type="dxa" w:w="2074"/>
            <w:shd w:fill="EFF6FF"/>
            <w:vAlign w:val="center"/>
          </w:tcPr>
          <w:p>
            <w:r/>
            <w:r>
              <w:rPr>
                <w:b/>
                <w:color w:val="1E40AF"/>
                <w:sz w:val="14"/>
              </w:rPr>
              <w:t>DELIVERY</w:t>
            </w:r>
          </w:p>
          <w:p>
            <w:pPr>
              <w:jc w:val="center"/>
            </w:pPr>
            <w:r>
              <w:rPr>
                <w:b/>
                <w:sz w:val="18"/>
              </w:rPr>
              <w:t>8 weeks</w:t>
            </w:r>
          </w:p>
        </w:tc>
        <w:tc>
          <w:tcPr>
            <w:tcW w:type="dxa" w:w="2074"/>
            <w:shd w:fill="EFF6FF"/>
            <w:vAlign w:val="center"/>
          </w:tcPr>
          <w:p>
            <w:r/>
            <w:r>
              <w:rPr>
                <w:b/>
                <w:color w:val="1E40AF"/>
                <w:sz w:val="14"/>
              </w:rPr>
              <w:t>FUNCTIONAL</w:t>
            </w:r>
          </w:p>
          <w:p>
            <w:pPr>
              <w:jc w:val="center"/>
            </w:pPr>
            <w:r>
              <w:rPr>
                <w:b/>
                <w:sz w:val="18"/>
              </w:rPr>
              <w:t>8</w:t>
            </w:r>
          </w:p>
        </w:tc>
        <w:tc>
          <w:tcPr>
            <w:tcW w:type="dxa" w:w="2074"/>
            <w:shd w:fill="EFF6FF"/>
            <w:vAlign w:val="center"/>
          </w:tcPr>
          <w:p>
            <w:r/>
            <w:r>
              <w:rPr>
                <w:b/>
                <w:color w:val="1E40AF"/>
                <w:sz w:val="14"/>
              </w:rPr>
              <w:t>CONTROLS</w:t>
            </w:r>
          </w:p>
          <w:p>
            <w:pPr>
              <w:jc w:val="center"/>
            </w:pPr>
            <w:r>
              <w:rPr>
                <w:b/>
                <w:sz w:val="18"/>
              </w:rPr>
              <w:t>5</w:t>
            </w:r>
          </w:p>
        </w:tc>
        <w:tc>
          <w:tcPr>
            <w:tcW w:type="dxa" w:w="2074"/>
            <w:shd w:fill="EFF6FF"/>
            <w:vAlign w:val="center"/>
          </w:tcPr>
          <w:p>
            <w:r/>
            <w:r>
              <w:rPr>
                <w:b/>
                <w:color w:val="1E40AF"/>
                <w:sz w:val="14"/>
              </w:rPr>
              <w:t>UAT CASES</w:t>
            </w:r>
          </w:p>
          <w:p>
            <w:pPr>
              <w:jc w:val="center"/>
            </w:pPr>
            <w:r>
              <w:rPr>
                <w:b/>
                <w:sz w:val="18"/>
              </w:rPr>
              <w:t>6</w:t>
            </w:r>
          </w:p>
        </w:tc>
      </w:tr>
    </w:tbl>
    <w:p/>
    <w:p>
      <w:pPr>
        <w:pStyle w:val="Heading2"/>
        <w:keepNext/>
      </w:pPr>
      <w:r>
        <w:t>PURPOSE</w:t>
      </w:r>
    </w:p>
    <w:p>
      <w:r>
        <w:t>Translate finance process pain points into implementation-ready ERP requirements covering workflow, data, controls, reporting, audit trail, and UAT coverage.</w:t>
      </w:r>
    </w:p>
    <w:p>
      <w:r>
        <w:br w:type="page"/>
      </w:r>
    </w:p>
    <w:p>
      <w:pPr>
        <w:sectPr>
          <w:pgSz w:w="12240" w:h="15840"/>
          <w:pgMar w:top="792" w:right="936" w:bottom="792" w:left="936" w:header="360" w:footer="360" w:gutter="0"/>
          <w:cols w:space="720"/>
          <w:docGrid w:linePitch="360"/>
        </w:sectPr>
      </w:pPr>
    </w:p>
    <w:p>
      <w:pPr>
        <w:pStyle w:val="Heading1"/>
        <w:keepNext/>
      </w:pPr>
      <w:r>
        <w:t>Contents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EFF6FF"/>
          </w:tcPr>
          <w:p>
            <w:r>
              <w:rPr>
                <w:b/>
              </w:rPr>
              <w:t>01</w:t>
            </w:r>
          </w:p>
        </w:tc>
        <w:tc>
          <w:tcPr>
            <w:tcW w:type="dxa" w:w="5184"/>
            <w:vAlign w:val="top"/>
          </w:tcPr>
          <w:p>
            <w:r>
              <w:t>Executive Summary</w:t>
            </w:r>
          </w:p>
        </w:tc>
      </w:tr>
      <w:tr>
        <w:tc>
          <w:tcPr>
            <w:tcW w:type="dxa" w:w="5184"/>
            <w:vAlign w:val="top"/>
            <w:shd w:fill="EFF6FF"/>
          </w:tcPr>
          <w:p>
            <w:r>
              <w:rPr>
                <w:b/>
              </w:rPr>
              <w:t>02</w:t>
            </w:r>
          </w:p>
        </w:tc>
        <w:tc>
          <w:tcPr>
            <w:tcW w:type="dxa" w:w="5184"/>
            <w:vAlign w:val="top"/>
          </w:tcPr>
          <w:p>
            <w:r>
              <w:t>Business Problem</w:t>
            </w:r>
          </w:p>
        </w:tc>
      </w:tr>
      <w:tr>
        <w:tc>
          <w:tcPr>
            <w:tcW w:type="dxa" w:w="5184"/>
            <w:vAlign w:val="top"/>
            <w:shd w:fill="EFF6FF"/>
          </w:tcPr>
          <w:p>
            <w:r>
              <w:rPr>
                <w:b/>
              </w:rPr>
              <w:t>03</w:t>
            </w:r>
          </w:p>
        </w:tc>
        <w:tc>
          <w:tcPr>
            <w:tcW w:type="dxa" w:w="5184"/>
            <w:vAlign w:val="top"/>
          </w:tcPr>
          <w:p>
            <w:r>
              <w:t>Process Scope</w:t>
            </w:r>
          </w:p>
        </w:tc>
      </w:tr>
      <w:tr>
        <w:tc>
          <w:tcPr>
            <w:tcW w:type="dxa" w:w="5184"/>
            <w:vAlign w:val="top"/>
            <w:shd w:fill="EFF6FF"/>
          </w:tcPr>
          <w:p>
            <w:r>
              <w:rPr>
                <w:b/>
              </w:rPr>
              <w:t>04</w:t>
            </w:r>
          </w:p>
        </w:tc>
        <w:tc>
          <w:tcPr>
            <w:tcW w:type="dxa" w:w="5184"/>
            <w:vAlign w:val="top"/>
          </w:tcPr>
          <w:p>
            <w:r>
              <w:t>In Scope</w:t>
            </w:r>
          </w:p>
        </w:tc>
      </w:tr>
      <w:tr>
        <w:tc>
          <w:tcPr>
            <w:tcW w:type="dxa" w:w="5184"/>
            <w:vAlign w:val="top"/>
            <w:shd w:fill="EFF6FF"/>
          </w:tcPr>
          <w:p>
            <w:r>
              <w:rPr>
                <w:b/>
              </w:rPr>
              <w:t>05</w:t>
            </w:r>
          </w:p>
        </w:tc>
        <w:tc>
          <w:tcPr>
            <w:tcW w:type="dxa" w:w="5184"/>
            <w:vAlign w:val="top"/>
          </w:tcPr>
          <w:p>
            <w:r>
              <w:t>Out of Scope</w:t>
            </w:r>
          </w:p>
        </w:tc>
      </w:tr>
      <w:tr>
        <w:tc>
          <w:tcPr>
            <w:tcW w:type="dxa" w:w="5184"/>
            <w:vAlign w:val="top"/>
            <w:shd w:fill="EFF6FF"/>
          </w:tcPr>
          <w:p>
            <w:r>
              <w:rPr>
                <w:b/>
              </w:rPr>
              <w:t>06</w:t>
            </w:r>
          </w:p>
        </w:tc>
        <w:tc>
          <w:tcPr>
            <w:tcW w:type="dxa" w:w="5184"/>
            <w:vAlign w:val="top"/>
          </w:tcPr>
          <w:p>
            <w:r>
              <w:t>Stakeholders and Roles</w:t>
            </w:r>
          </w:p>
        </w:tc>
      </w:tr>
      <w:tr>
        <w:tc>
          <w:tcPr>
            <w:tcW w:type="dxa" w:w="5184"/>
            <w:vAlign w:val="top"/>
            <w:shd w:fill="EFF6FF"/>
          </w:tcPr>
          <w:p>
            <w:r>
              <w:rPr>
                <w:b/>
              </w:rPr>
              <w:t>07</w:t>
            </w:r>
          </w:p>
        </w:tc>
        <w:tc>
          <w:tcPr>
            <w:tcW w:type="dxa" w:w="5184"/>
            <w:vAlign w:val="top"/>
          </w:tcPr>
          <w:p>
            <w:r>
              <w:t>Functional Requirements</w:t>
            </w:r>
          </w:p>
        </w:tc>
      </w:tr>
      <w:tr>
        <w:tc>
          <w:tcPr>
            <w:tcW w:type="dxa" w:w="5184"/>
            <w:vAlign w:val="top"/>
            <w:shd w:fill="EFF6FF"/>
          </w:tcPr>
          <w:p>
            <w:r>
              <w:rPr>
                <w:b/>
              </w:rPr>
              <w:t>08</w:t>
            </w:r>
          </w:p>
        </w:tc>
        <w:tc>
          <w:tcPr>
            <w:tcW w:type="dxa" w:w="5184"/>
            <w:vAlign w:val="top"/>
          </w:tcPr>
          <w:p>
            <w:r>
              <w:t>Data Requirements</w:t>
            </w:r>
          </w:p>
        </w:tc>
      </w:tr>
      <w:tr>
        <w:tc>
          <w:tcPr>
            <w:tcW w:type="dxa" w:w="5184"/>
            <w:vAlign w:val="top"/>
            <w:shd w:fill="EFF6FF"/>
          </w:tcPr>
          <w:p>
            <w:r>
              <w:rPr>
                <w:b/>
              </w:rPr>
              <w:t>09</w:t>
            </w:r>
          </w:p>
        </w:tc>
        <w:tc>
          <w:tcPr>
            <w:tcW w:type="dxa" w:w="5184"/>
            <w:vAlign w:val="top"/>
          </w:tcPr>
          <w:p>
            <w:r>
              <w:t>Controls</w:t>
            </w:r>
          </w:p>
        </w:tc>
      </w:tr>
      <w:tr>
        <w:tc>
          <w:tcPr>
            <w:tcW w:type="dxa" w:w="5184"/>
            <w:vAlign w:val="top"/>
            <w:shd w:fill="EFF6FF"/>
          </w:tcPr>
          <w:p>
            <w:r>
              <w:rPr>
                <w:b/>
              </w:rPr>
              <w:t>10</w:t>
            </w:r>
          </w:p>
        </w:tc>
        <w:tc>
          <w:tcPr>
            <w:tcW w:type="dxa" w:w="5184"/>
            <w:vAlign w:val="top"/>
          </w:tcPr>
          <w:p>
            <w:r>
              <w:t>Reporting Requirements</w:t>
            </w:r>
          </w:p>
        </w:tc>
      </w:tr>
      <w:tr>
        <w:tc>
          <w:tcPr>
            <w:tcW w:type="dxa" w:w="5184"/>
            <w:vAlign w:val="top"/>
            <w:shd w:fill="EFF6FF"/>
          </w:tcPr>
          <w:p>
            <w:r>
              <w:rPr>
                <w:b/>
              </w:rPr>
              <w:t>11</w:t>
            </w:r>
          </w:p>
        </w:tc>
        <w:tc>
          <w:tcPr>
            <w:tcW w:type="dxa" w:w="5184"/>
            <w:vAlign w:val="top"/>
          </w:tcPr>
          <w:p>
            <w:r>
              <w:t>Audit Trail Requirements</w:t>
            </w:r>
          </w:p>
        </w:tc>
      </w:tr>
      <w:tr>
        <w:tc>
          <w:tcPr>
            <w:tcW w:type="dxa" w:w="5184"/>
            <w:vAlign w:val="top"/>
            <w:shd w:fill="EFF6FF"/>
          </w:tcPr>
          <w:p>
            <w:r>
              <w:rPr>
                <w:b/>
              </w:rPr>
              <w:t>12</w:t>
            </w:r>
          </w:p>
        </w:tc>
        <w:tc>
          <w:tcPr>
            <w:tcW w:type="dxa" w:w="5184"/>
            <w:vAlign w:val="top"/>
          </w:tcPr>
          <w:p>
            <w:r>
              <w:t>User Stories</w:t>
            </w:r>
          </w:p>
        </w:tc>
      </w:tr>
      <w:tr>
        <w:tc>
          <w:tcPr>
            <w:tcW w:type="dxa" w:w="5184"/>
            <w:vAlign w:val="top"/>
            <w:shd w:fill="EFF6FF"/>
          </w:tcPr>
          <w:p>
            <w:r>
              <w:rPr>
                <w:b/>
              </w:rPr>
              <w:t>13</w:t>
            </w:r>
          </w:p>
        </w:tc>
        <w:tc>
          <w:tcPr>
            <w:tcW w:type="dxa" w:w="5184"/>
            <w:vAlign w:val="top"/>
          </w:tcPr>
          <w:p>
            <w:r>
              <w:t>UAT Test Cases</w:t>
            </w:r>
          </w:p>
        </w:tc>
      </w:tr>
      <w:tr>
        <w:tc>
          <w:tcPr>
            <w:tcW w:type="dxa" w:w="5184"/>
            <w:vAlign w:val="top"/>
            <w:shd w:fill="EFF6FF"/>
          </w:tcPr>
          <w:p>
            <w:r>
              <w:rPr>
                <w:b/>
              </w:rPr>
              <w:t>14</w:t>
            </w:r>
          </w:p>
        </w:tc>
        <w:tc>
          <w:tcPr>
            <w:tcW w:type="dxa" w:w="5184"/>
            <w:vAlign w:val="top"/>
          </w:tcPr>
          <w:p>
            <w:r>
              <w:t>Acceptance Criteria</w:t>
            </w:r>
          </w:p>
        </w:tc>
      </w:tr>
      <w:tr>
        <w:tc>
          <w:tcPr>
            <w:tcW w:type="dxa" w:w="5184"/>
            <w:vAlign w:val="top"/>
            <w:shd w:fill="EFF6FF"/>
          </w:tcPr>
          <w:p>
            <w:r>
              <w:rPr>
                <w:b/>
              </w:rPr>
              <w:t>15</w:t>
            </w:r>
          </w:p>
        </w:tc>
        <w:tc>
          <w:tcPr>
            <w:tcW w:type="dxa" w:w="5184"/>
            <w:vAlign w:val="top"/>
          </w:tcPr>
          <w:p>
            <w:r>
              <w:t>Implementation Risks and Dependencies</w:t>
            </w:r>
          </w:p>
        </w:tc>
      </w:tr>
      <w:tr>
        <w:tc>
          <w:tcPr>
            <w:tcW w:type="dxa" w:w="5184"/>
            <w:vAlign w:val="top"/>
            <w:shd w:fill="EFF6FF"/>
          </w:tcPr>
          <w:p>
            <w:r>
              <w:rPr>
                <w:b/>
              </w:rPr>
              <w:t>16</w:t>
            </w:r>
          </w:p>
        </w:tc>
        <w:tc>
          <w:tcPr>
            <w:tcW w:type="dxa" w:w="5184"/>
            <w:vAlign w:val="top"/>
          </w:tcPr>
          <w:p>
            <w:r>
              <w:t>Implementation Notes</w:t>
            </w:r>
          </w:p>
        </w:tc>
      </w:tr>
      <w:tr>
        <w:tc>
          <w:tcPr>
            <w:tcW w:type="dxa" w:w="5184"/>
            <w:vAlign w:val="top"/>
            <w:shd w:fill="EFF6FF"/>
          </w:tcPr>
          <w:p>
            <w:r>
              <w:rPr>
                <w:b/>
              </w:rPr>
              <w:t>17</w:t>
            </w:r>
          </w:p>
        </w:tc>
        <w:tc>
          <w:tcPr>
            <w:tcW w:type="dxa" w:w="5184"/>
            <w:vAlign w:val="top"/>
          </w:tcPr>
          <w:p>
            <w:r>
              <w:t>Public-Safe Sample Data Note</w:t>
            </w:r>
          </w:p>
        </w:tc>
      </w:tr>
    </w:tbl>
    <w:p>
      <w:r>
        <w:br w:type="page"/>
      </w:r>
    </w:p>
    <w:p>
      <w:pPr>
        <w:pStyle w:val="Heading1"/>
        <w:keepNext/>
      </w:pPr>
      <w:r>
        <w:t>01  Executive Summary</w:t>
      </w:r>
    </w:p>
    <w:p>
      <w:r>
        <w:t>BlueRiver Foods Ltd needs a structured Bank Reconciliation requirements pack to reduce rework, clarify control ownership, and make Microsoft Dynamics 365 Business Central implementation decisions testable. The pack translates unmatched bank statement lines, suspense account ageing, and manual owner/status tracking into requirements for workflow, data, controls, reporting, audit trail, and UAT. It is sized for 8 bank accounts with roughly 4,500 statement lines per month and frames the control design, reporting outputs, and acceptance criteria needed within a target delivery window of 8 weeks.</w:t>
      </w:r>
    </w:p>
    <w:p>
      <w:pPr>
        <w:pStyle w:val="Heading1"/>
        <w:keepNext/>
      </w:pPr>
      <w:r>
        <w:t>02  Business Problem</w:t>
      </w:r>
    </w:p>
    <w:p>
      <w:r>
        <w:t>The current Bank Reconciliation process relies on Bank portal exports, ERP cashbook, and month-end spreadsheet reconciliation. That creates avoidable risk around unmatched bank statement lines, suspense account ageing, and manual owner/status tracking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pPr>
      <w:r>
        <w:t>03  Process Scope</w:t>
      </w:r>
    </w:p>
    <w:p>
      <w:r>
        <w:t>The future-state scope covers Bank statement ingestion, matching status, exception ownership, suspense clearing, and reviewer sign-off; Daily visibility of unmatched receipts, payments, fees, and transfers; and Month-end reconciliation evidence suitable for finance and audit review. The design will support multi-site food distribution business users on Microsoft Dynamics 365 Business Central, with emphasis on month-end close evidence and internal control review.</w:t>
      </w:r>
    </w:p>
    <w:p>
      <w:pPr>
        <w:pStyle w:val="Heading1"/>
        <w:keepNext/>
      </w:pPr>
      <w:r>
        <w:t>04  In Scope</w:t>
      </w:r>
    </w:p>
    <w:p>
      <w:pPr>
        <w:pStyle w:val="ListBullet"/>
        <w:spacing w:after="40"/>
      </w:pPr>
      <w:r>
        <w:t>Bank Reconciliation requirements for the agreed multi-site food distribution business process.</w:t>
      </w:r>
    </w:p>
    <w:p>
      <w:pPr>
        <w:pStyle w:val="ListBullet"/>
        <w:spacing w:after="40"/>
      </w:pPr>
      <w:r>
        <w:t>Workflow, data, controls, reporting, audit trail, and UAT requirements for Microsoft Dynamics 365 Business Central.</w:t>
      </w:r>
    </w:p>
    <w:p>
      <w:pPr>
        <w:pStyle w:val="ListBullet"/>
        <w:spacing w:after="40"/>
      </w:pPr>
      <w:r>
        <w:t>Process pain points covering unmatched bank statement lines, suspense account ageing, and manual owner/status tracking.</w:t>
      </w:r>
    </w:p>
    <w:p>
      <w:pPr>
        <w:pStyle w:val="ListBullet"/>
        <w:spacing w:after="40"/>
      </w:pPr>
      <w:r>
        <w:t>Reporting requirement: Daily unmatched item ageing and month-end reconciliation evidence pack.</w:t>
      </w:r>
    </w:p>
    <w:p>
      <w:pPr>
        <w:pStyle w:val="ListBullet"/>
        <w:spacing w:after="40"/>
      </w:pPr>
      <w:r>
        <w:t>Implementation window and readiness assumptions for the 8 weeks target window.</w:t>
      </w:r>
    </w:p>
    <w:p>
      <w:pPr>
        <w:pStyle w:val="Heading1"/>
        <w:keepNext/>
      </w:pPr>
      <w:r>
        <w:t>05  Out of Scope</w:t>
      </w:r>
    </w:p>
    <w:p>
      <w:pPr>
        <w:pStyle w:val="ListBullet"/>
        <w:spacing w:after="40"/>
      </w:pPr>
      <w:r>
        <w:t>Live system configuration, data migration execution, and production cutover.</w:t>
      </w:r>
    </w:p>
    <w:p>
      <w:pPr>
        <w:pStyle w:val="ListBullet"/>
        <w:spacing w:after="40"/>
      </w:pPr>
      <w:r>
        <w:t>Custom integration build or external workflow automation.</w:t>
      </w:r>
    </w:p>
    <w:p>
      <w:pPr>
        <w:pStyle w:val="ListBullet"/>
        <w:spacing w:after="40"/>
      </w:pPr>
      <w:r>
        <w:t>Legal, tax, HR, or statutory sign-off outside the finance process owner remit.</w:t>
      </w:r>
    </w:p>
    <w:p>
      <w:pPr>
        <w:pStyle w:val="ListBullet"/>
        <w:spacing w:after="40"/>
      </w:pPr>
      <w:r>
        <w:t>Direct processing of operational production data.</w:t>
      </w:r>
    </w:p>
    <w:p>
      <w:pPr>
        <w:pStyle w:val="ListBullet"/>
        <w:spacing w:after="40"/>
      </w:pPr>
      <w:r>
        <w:t>Process areas outside Bank Reconciliation unless approved as a separate phase.</w:t>
      </w:r>
    </w:p>
    <w:p>
      <w:pPr>
        <w:pStyle w:val="Heading1"/>
        <w:keepNext/>
      </w:pPr>
      <w:r>
        <w:t>06  Stakeholders and Roles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Role</w:t>
            </w:r>
          </w:p>
        </w:tc>
        <w:tc>
          <w:tcPr>
            <w:tcW w:type="dxa" w:w="5184"/>
            <w:vAlign w:val="top"/>
            <w:shd w:fill="DBEAFE"/>
          </w:tcPr>
          <w:p>
            <w:r>
              <w:rPr>
                <w:b/>
              </w:rPr>
              <w:t>Responsibility</w:t>
            </w:r>
          </w:p>
        </w:tc>
      </w:tr>
      <w:tr>
        <w:tc>
          <w:tcPr>
            <w:tcW w:type="dxa" w:w="5184"/>
          </w:tcPr>
          <w:p>
            <w:r>
              <w:t>Finance Transformation Lead</w:t>
            </w:r>
          </w:p>
        </w:tc>
        <w:tc>
          <w:tcPr>
            <w:tcW w:type="dxa" w:w="5184"/>
          </w:tcPr>
          <w:p>
            <w:r>
              <w:t>accountable for business sign-off and prioritisation.</w:t>
            </w:r>
          </w:p>
        </w:tc>
      </w:tr>
      <w:tr>
        <w:tc>
          <w:tcPr>
            <w:tcW w:type="dxa" w:w="5184"/>
          </w:tcPr>
          <w:p>
            <w:r>
              <w:t>Bank Reconciliation process owner</w:t>
            </w:r>
          </w:p>
        </w:tc>
        <w:tc>
          <w:tcPr>
            <w:tcW w:type="dxa" w:w="5184"/>
          </w:tcPr>
          <w:p>
            <w:r>
              <w:t>validates workflow scope, controls, and exceptions.</w:t>
            </w:r>
          </w:p>
        </w:tc>
      </w:tr>
      <w:tr>
        <w:tc>
          <w:tcPr>
            <w:tcW w:type="dxa" w:w="5184"/>
          </w:tcPr>
          <w:p>
            <w:r>
              <w:t>Finance systems analyst</w:t>
            </w:r>
          </w:p>
        </w:tc>
        <w:tc>
          <w:tcPr>
            <w:tcW w:type="dxa" w:w="5184"/>
          </w:tcPr>
          <w:p>
            <w:r>
              <w:t>translates requirements into configuration and UAT coverage.</w:t>
            </w:r>
          </w:p>
        </w:tc>
      </w:tr>
      <w:tr>
        <w:tc>
          <w:tcPr>
            <w:tcW w:type="dxa" w:w="5184"/>
          </w:tcPr>
          <w:p>
            <w:r>
              <w:t>Preparer or operational user</w:t>
            </w:r>
          </w:p>
        </w:tc>
        <w:tc>
          <w:tcPr>
            <w:tcW w:type="dxa" w:w="5184"/>
          </w:tcPr>
          <w:p>
            <w:r>
              <w:t>confirms day-to-day inputs, handoffs, and evidence needs.</w:t>
            </w:r>
          </w:p>
        </w:tc>
      </w:tr>
      <w:tr>
        <w:tc>
          <w:tcPr>
            <w:tcW w:type="dxa" w:w="5184"/>
          </w:tcPr>
          <w:p>
            <w:r>
              <w:t>Reviewer or controller</w:t>
            </w:r>
          </w:p>
        </w:tc>
        <w:tc>
          <w:tcPr>
            <w:tcW w:type="dxa" w:w="5184"/>
          </w:tcPr>
          <w:p>
            <w:r>
              <w:t>approves control design, reporting outputs, and acceptance criteria.</w:t>
            </w:r>
          </w:p>
        </w:tc>
      </w:tr>
    </w:tbl>
    <w:p>
      <w:pPr>
        <w:pStyle w:val="Heading1"/>
        <w:keepNext/>
      </w:pPr>
      <w:r>
        <w:t>07  Functional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Functional Requirement</w:t>
            </w:r>
          </w:p>
        </w:tc>
      </w:tr>
      <w:tr>
        <w:tc>
          <w:tcPr>
            <w:tcW w:type="dxa" w:w="5184"/>
          </w:tcPr>
          <w:p>
            <w:r>
              <w:t>FR-01</w:t>
            </w:r>
          </w:p>
        </w:tc>
        <w:tc>
          <w:tcPr>
            <w:tcW w:type="dxa" w:w="5184"/>
          </w:tcPr>
          <w:p>
            <w:r>
              <w:t>Import or capture bank statement date, value date, description, amount, currency, and bank account.</w:t>
            </w:r>
          </w:p>
        </w:tc>
      </w:tr>
      <w:tr>
        <w:tc>
          <w:tcPr>
            <w:tcW w:type="dxa" w:w="5184"/>
          </w:tcPr>
          <w:p>
            <w:r>
              <w:t>FR-02</w:t>
            </w:r>
          </w:p>
        </w:tc>
        <w:tc>
          <w:tcPr>
            <w:tcW w:type="dxa" w:w="5184"/>
          </w:tcPr>
          <w:p>
            <w:r>
              <w:t>Match bank lines to ledger transactions using reference, amount, date tolerance, and counterparty.</w:t>
            </w:r>
          </w:p>
        </w:tc>
      </w:tr>
      <w:tr>
        <w:tc>
          <w:tcPr>
            <w:tcW w:type="dxa" w:w="5184"/>
          </w:tcPr>
          <w:p>
            <w:r>
              <w:t>FR-03</w:t>
            </w:r>
          </w:p>
        </w:tc>
        <w:tc>
          <w:tcPr>
            <w:tcW w:type="dxa" w:w="5184"/>
          </w:tcPr>
          <w:p>
            <w:r>
              <w:t>Track unmatched lines with owner, status, reason code, ageing, and expected resolution date.</w:t>
            </w:r>
          </w:p>
        </w:tc>
      </w:tr>
      <w:tr>
        <w:tc>
          <w:tcPr>
            <w:tcW w:type="dxa" w:w="5184"/>
          </w:tcPr>
          <w:p>
            <w:r>
              <w:t>FR-04</w:t>
            </w:r>
          </w:p>
        </w:tc>
        <w:tc>
          <w:tcPr>
            <w:tcW w:type="dxa" w:w="5184"/>
          </w:tcPr>
          <w:p>
            <w:r>
              <w:t>Separate unreconciled receipts, unreconciled payments, bank fees, transfers, and unknown items.</w:t>
            </w:r>
          </w:p>
        </w:tc>
      </w:tr>
      <w:tr>
        <w:tc>
          <w:tcPr>
            <w:tcW w:type="dxa" w:w="5184"/>
          </w:tcPr>
          <w:p>
            <w:r>
              <w:t>FR-05</w:t>
            </w:r>
          </w:p>
        </w:tc>
        <w:tc>
          <w:tcPr>
            <w:tcW w:type="dxa" w:w="5184"/>
          </w:tcPr>
          <w:p>
            <w:r>
              <w:t>Link suspense account entries to the originating bank line and clearing journal.</w:t>
            </w:r>
          </w:p>
        </w:tc>
      </w:tr>
      <w:tr>
        <w:tc>
          <w:tcPr>
            <w:tcW w:type="dxa" w:w="5184"/>
          </w:tcPr>
          <w:p>
            <w:r>
              <w:t>FR-06</w:t>
            </w:r>
          </w:p>
        </w:tc>
        <w:tc>
          <w:tcPr>
            <w:tcW w:type="dxa" w:w="5184"/>
          </w:tcPr>
          <w:p>
            <w:r>
              <w:t>Require reviewer sign-off once reconciliation differences are explained or cleared.</w:t>
            </w:r>
          </w:p>
        </w:tc>
      </w:tr>
      <w:tr>
        <w:tc>
          <w:tcPr>
            <w:tcW w:type="dxa" w:w="5184"/>
          </w:tcPr>
          <w:p>
            <w:r>
              <w:t>FR-07</w:t>
            </w:r>
          </w:p>
        </w:tc>
        <w:tc>
          <w:tcPr>
            <w:tcW w:type="dxa" w:w="5184"/>
          </w:tcPr>
          <w:p>
            <w:r>
              <w:t>Produce a month-end reconciliation pack with outstanding items and movement commentary.</w:t>
            </w:r>
          </w:p>
        </w:tc>
      </w:tr>
      <w:tr>
        <w:tc>
          <w:tcPr>
            <w:tcW w:type="dxa" w:w="5184"/>
          </w:tcPr>
          <w:p>
            <w:r>
              <w:t>FR-08</w:t>
            </w:r>
          </w:p>
        </w:tc>
        <w:tc>
          <w:tcPr>
            <w:tcW w:type="dxa" w:w="5184"/>
          </w:tcPr>
          <w:p>
            <w:r>
              <w:t>Escalate high-value or aged unmatched lines based on finance policy thresholds.</w:t>
            </w:r>
          </w:p>
        </w:tc>
      </w:tr>
    </w:tbl>
    <w:p>
      <w:pPr>
        <w:pStyle w:val="Heading1"/>
        <w:keepNext/>
      </w:pPr>
      <w:r>
        <w:t>08  Data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DR-01</w:t>
            </w:r>
          </w:p>
        </w:tc>
        <w:tc>
          <w:tcPr>
            <w:tcW w:type="dxa" w:w="5184"/>
          </w:tcPr>
          <w:p>
            <w:r>
              <w:t>Bank account ID</w:t>
            </w:r>
          </w:p>
        </w:tc>
      </w:tr>
      <w:tr>
        <w:tc>
          <w:tcPr>
            <w:tcW w:type="dxa" w:w="5184"/>
          </w:tcPr>
          <w:p>
            <w:r>
              <w:t>DR-02</w:t>
            </w:r>
          </w:p>
        </w:tc>
        <w:tc>
          <w:tcPr>
            <w:tcW w:type="dxa" w:w="5184"/>
          </w:tcPr>
          <w:p>
            <w:r>
              <w:t>Statement line ID</w:t>
            </w:r>
          </w:p>
        </w:tc>
      </w:tr>
      <w:tr>
        <w:tc>
          <w:tcPr>
            <w:tcW w:type="dxa" w:w="5184"/>
          </w:tcPr>
          <w:p>
            <w:r>
              <w:t>DR-03</w:t>
            </w:r>
          </w:p>
        </w:tc>
        <w:tc>
          <w:tcPr>
            <w:tcW w:type="dxa" w:w="5184"/>
          </w:tcPr>
          <w:p>
            <w:r>
              <w:t>Ledger transaction ID</w:t>
            </w:r>
          </w:p>
        </w:tc>
      </w:tr>
      <w:tr>
        <w:tc>
          <w:tcPr>
            <w:tcW w:type="dxa" w:w="5184"/>
          </w:tcPr>
          <w:p>
            <w:r>
              <w:t>DR-04</w:t>
            </w:r>
          </w:p>
        </w:tc>
        <w:tc>
          <w:tcPr>
            <w:tcW w:type="dxa" w:w="5184"/>
          </w:tcPr>
          <w:p>
            <w:r>
              <w:t>Match status</w:t>
            </w:r>
          </w:p>
        </w:tc>
      </w:tr>
      <w:tr>
        <w:tc>
          <w:tcPr>
            <w:tcW w:type="dxa" w:w="5184"/>
          </w:tcPr>
          <w:p>
            <w:r>
              <w:t>DR-05</w:t>
            </w:r>
          </w:p>
        </w:tc>
        <w:tc>
          <w:tcPr>
            <w:tcW w:type="dxa" w:w="5184"/>
          </w:tcPr>
          <w:p>
            <w:r>
              <w:t>Exception owner</w:t>
            </w:r>
          </w:p>
        </w:tc>
      </w:tr>
      <w:tr>
        <w:tc>
          <w:tcPr>
            <w:tcW w:type="dxa" w:w="5184"/>
          </w:tcPr>
          <w:p>
            <w:r>
              <w:t>DR-06</w:t>
            </w:r>
          </w:p>
        </w:tc>
        <w:tc>
          <w:tcPr>
            <w:tcW w:type="dxa" w:w="5184"/>
          </w:tcPr>
          <w:p>
            <w:r>
              <w:t>Ageing bucket</w:t>
            </w:r>
          </w:p>
        </w:tc>
      </w:tr>
      <w:tr>
        <w:tc>
          <w:tcPr>
            <w:tcW w:type="dxa" w:w="5184"/>
          </w:tcPr>
          <w:p>
            <w:r>
              <w:t>DR-07</w:t>
            </w:r>
          </w:p>
        </w:tc>
        <w:tc>
          <w:tcPr>
            <w:tcW w:type="dxa" w:w="5184"/>
          </w:tcPr>
          <w:p>
            <w:r>
              <w:t>Suspense account reference</w:t>
            </w:r>
          </w:p>
        </w:tc>
      </w:tr>
      <w:tr>
        <w:tc>
          <w:tcPr>
            <w:tcW w:type="dxa" w:w="5184"/>
          </w:tcPr>
          <w:p>
            <w:r>
              <w:t>DR-08</w:t>
            </w:r>
          </w:p>
        </w:tc>
        <w:tc>
          <w:tcPr>
            <w:tcW w:type="dxa" w:w="5184"/>
          </w:tcPr>
          <w:p>
            <w:r>
              <w:t>Reviewer sign-off timestamp</w:t>
            </w:r>
          </w:p>
        </w:tc>
      </w:tr>
    </w:tbl>
    <w:p>
      <w:pPr>
        <w:pStyle w:val="Heading1"/>
        <w:keepNext/>
      </w:pPr>
      <w:r>
        <w:t>09  Controls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CTRL-01</w:t>
            </w:r>
          </w:p>
        </w:tc>
        <w:tc>
          <w:tcPr>
            <w:tcW w:type="dxa" w:w="5184"/>
          </w:tcPr>
          <w:p>
            <w:r>
              <w:t>Reviewer sign-off required before a reconciliation period is marked complete.</w:t>
            </w:r>
          </w:p>
        </w:tc>
      </w:tr>
      <w:tr>
        <w:tc>
          <w:tcPr>
            <w:tcW w:type="dxa" w:w="5184"/>
          </w:tcPr>
          <w:p>
            <w:r>
              <w:t>CTRL-02</w:t>
            </w:r>
          </w:p>
        </w:tc>
        <w:tc>
          <w:tcPr>
            <w:tcW w:type="dxa" w:w="5184"/>
          </w:tcPr>
          <w:p>
            <w:r>
              <w:t>Aged unmatched lines escalate after the policy threshold.</w:t>
            </w:r>
          </w:p>
        </w:tc>
      </w:tr>
      <w:tr>
        <w:tc>
          <w:tcPr>
            <w:tcW w:type="dxa" w:w="5184"/>
          </w:tcPr>
          <w:p>
            <w:r>
              <w:t>CTRL-03</w:t>
            </w:r>
          </w:p>
        </w:tc>
        <w:tc>
          <w:tcPr>
            <w:tcW w:type="dxa" w:w="5184"/>
          </w:tcPr>
          <w:p>
            <w:r>
              <w:t>Suspense clearing entries require reason codes and supporting notes.</w:t>
            </w:r>
          </w:p>
        </w:tc>
      </w:tr>
      <w:tr>
        <w:tc>
          <w:tcPr>
            <w:tcW w:type="dxa" w:w="5184"/>
          </w:tcPr>
          <w:p>
            <w:r>
              <w:t>CTRL-04</w:t>
            </w:r>
          </w:p>
        </w:tc>
        <w:tc>
          <w:tcPr>
            <w:tcW w:type="dxa" w:w="5184"/>
          </w:tcPr>
          <w:p>
            <w:r>
              <w:t>Manual match overrides require reviewer approval.</w:t>
            </w:r>
          </w:p>
        </w:tc>
      </w:tr>
      <w:tr>
        <w:tc>
          <w:tcPr>
            <w:tcW w:type="dxa" w:w="5184"/>
          </w:tcPr>
          <w:p>
            <w:r>
              <w:t>CTRL-05</w:t>
            </w:r>
          </w:p>
        </w:tc>
        <w:tc>
          <w:tcPr>
            <w:tcW w:type="dxa" w:w="5184"/>
          </w:tcPr>
          <w:p>
            <w:r>
              <w:t>Reconciliation status is locked after period close except through controlled reopen.</w:t>
            </w:r>
          </w:p>
        </w:tc>
      </w:tr>
    </w:tbl>
    <w:p>
      <w:pPr>
        <w:pStyle w:val="Heading1"/>
        <w:keepNext/>
      </w:pPr>
      <w:r>
        <w:t>10  Reporting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RPT-01</w:t>
            </w:r>
          </w:p>
        </w:tc>
        <w:tc>
          <w:tcPr>
            <w:tcW w:type="dxa" w:w="5184"/>
          </w:tcPr>
          <w:p>
            <w:r>
              <w:t>Provide Daily unmatched item ageing and month-end reconciliation evidence pack.</w:t>
            </w:r>
          </w:p>
        </w:tc>
      </w:tr>
      <w:tr>
        <w:tc>
          <w:tcPr>
            <w:tcW w:type="dxa" w:w="5184"/>
          </w:tcPr>
          <w:p>
            <w:r>
              <w:t>RPT-02</w:t>
            </w:r>
          </w:p>
        </w:tc>
        <w:tc>
          <w:tcPr>
            <w:tcW w:type="dxa" w:w="5184"/>
          </w:tcPr>
          <w:p>
            <w:r>
              <w:t>Show owner, status, ageing, exception reason, and next action where relevant to Bank Reconciliation.</w:t>
            </w:r>
          </w:p>
        </w:tc>
      </w:tr>
      <w:tr>
        <w:tc>
          <w:tcPr>
            <w:tcW w:type="dxa" w:w="5184"/>
          </w:tcPr>
          <w:p>
            <w:r>
              <w:t>RPT-03</w:t>
            </w:r>
          </w:p>
        </w:tc>
        <w:tc>
          <w:tcPr>
            <w:tcW w:type="dxa" w:w="5184"/>
          </w:tcPr>
          <w:p>
            <w:r>
              <w:t>Support finance manager review with exportable period-end evidence.</w:t>
            </w:r>
          </w:p>
        </w:tc>
      </w:tr>
      <w:tr>
        <w:tc>
          <w:tcPr>
            <w:tcW w:type="dxa" w:w="5184"/>
          </w:tcPr>
          <w:p>
            <w:r>
              <w:t>RPT-04</w:t>
            </w:r>
          </w:p>
        </w:tc>
        <w:tc>
          <w:tcPr>
            <w:tcW w:type="dxa" w:w="5184"/>
          </w:tcPr>
          <w:p>
            <w:r>
              <w:t>Separate open exceptions from completed, approved, or signed-off items.</w:t>
            </w:r>
          </w:p>
        </w:tc>
      </w:tr>
      <w:tr>
        <w:tc>
          <w:tcPr>
            <w:tcW w:type="dxa" w:w="5184"/>
          </w:tcPr>
          <w:p>
            <w:r>
              <w:t>RPT-05</w:t>
            </w:r>
          </w:p>
        </w:tc>
        <w:tc>
          <w:tcPr>
            <w:tcW w:type="dxa" w:w="5184"/>
          </w:tcPr>
          <w:p>
            <w:r>
              <w:t>Make reporting outputs readable by finance users without system administrator access.</w:t>
            </w:r>
          </w:p>
        </w:tc>
      </w:tr>
    </w:tbl>
    <w:p>
      <w:pPr>
        <w:pStyle w:val="Heading1"/>
        <w:keepNext/>
      </w:pPr>
      <w:r>
        <w:t>11  Audit Trail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AUD-01</w:t>
            </w:r>
          </w:p>
        </w:tc>
        <w:tc>
          <w:tcPr>
            <w:tcW w:type="dxa" w:w="5184"/>
          </w:tcPr>
          <w:p>
            <w:r>
              <w:t>Store all matching, unmatching, manual override, and suspense clearing actions.</w:t>
            </w:r>
          </w:p>
        </w:tc>
      </w:tr>
      <w:tr>
        <w:tc>
          <w:tcPr>
            <w:tcW w:type="dxa" w:w="5184"/>
          </w:tcPr>
          <w:p>
            <w:r>
              <w:t>AUD-02</w:t>
            </w:r>
          </w:p>
        </w:tc>
        <w:tc>
          <w:tcPr>
            <w:tcW w:type="dxa" w:w="5184"/>
          </w:tcPr>
          <w:p>
            <w:r>
              <w:t>Record preparer completion and reviewer sign-off timestamps.</w:t>
            </w:r>
          </w:p>
        </w:tc>
      </w:tr>
      <w:tr>
        <w:tc>
          <w:tcPr>
            <w:tcW w:type="dxa" w:w="5184"/>
          </w:tcPr>
          <w:p>
            <w:r>
              <w:t>AUD-03</w:t>
            </w:r>
          </w:p>
        </w:tc>
        <w:tc>
          <w:tcPr>
            <w:tcW w:type="dxa" w:w="5184"/>
          </w:tcPr>
          <w:p>
            <w:r>
              <w:t>Keep owner/status history for aged unmatched lines.</w:t>
            </w:r>
          </w:p>
        </w:tc>
      </w:tr>
      <w:tr>
        <w:tc>
          <w:tcPr>
            <w:tcW w:type="dxa" w:w="5184"/>
          </w:tcPr>
          <w:p>
            <w:r>
              <w:t>AUD-04</w:t>
            </w:r>
          </w:p>
        </w:tc>
        <w:tc>
          <w:tcPr>
            <w:tcW w:type="dxa" w:w="5184"/>
          </w:tcPr>
          <w:p>
            <w:r>
              <w:t>Preserve supporting notes and evidence links for unresolved differences.</w:t>
            </w:r>
          </w:p>
        </w:tc>
      </w:tr>
      <w:tr>
        <w:tc>
          <w:tcPr>
            <w:tcW w:type="dxa" w:w="5184"/>
          </w:tcPr>
          <w:p>
            <w:r>
              <w:t>AUD-05</w:t>
            </w:r>
          </w:p>
        </w:tc>
        <w:tc>
          <w:tcPr>
            <w:tcW w:type="dxa" w:w="5184"/>
          </w:tcPr>
          <w:p>
            <w:r>
              <w:t>Record period reopen requests with reason, requester, approver, and date.</w:t>
            </w:r>
          </w:p>
        </w:tc>
      </w:tr>
    </w:tbl>
    <w:p>
      <w:pPr>
        <w:pStyle w:val="Heading1"/>
        <w:keepNext/>
      </w:pPr>
      <w:r>
        <w:t>12  User Stories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Story</w:t>
            </w:r>
          </w:p>
        </w:tc>
        <w:tc>
          <w:tcPr>
            <w:tcW w:type="dxa" w:w="5184"/>
            <w:vAlign w:val="top"/>
            <w:shd w:fill="DBEAFE"/>
          </w:tcPr>
          <w:p>
            <w:r>
              <w:rPr>
                <w:b/>
              </w:rPr>
              <w:t>User Need</w:t>
            </w:r>
          </w:p>
        </w:tc>
      </w:tr>
      <w:tr>
        <w:tc>
          <w:tcPr>
            <w:tcW w:type="dxa" w:w="5184"/>
          </w:tcPr>
          <w:p>
            <w:r>
              <w:t>01</w:t>
            </w:r>
          </w:p>
        </w:tc>
        <w:tc>
          <w:tcPr>
            <w:tcW w:type="dxa" w:w="5184"/>
          </w:tcPr>
          <w:p>
            <w:r>
              <w:t>As a reconciliation preparer, I want unmatched lines grouped by ageing so that old differences are prioritised.</w:t>
            </w:r>
          </w:p>
        </w:tc>
      </w:tr>
      <w:tr>
        <w:tc>
          <w:tcPr>
            <w:tcW w:type="dxa" w:w="5184"/>
          </w:tcPr>
          <w:p>
            <w:r>
              <w:t>02</w:t>
            </w:r>
          </w:p>
        </w:tc>
        <w:tc>
          <w:tcPr>
            <w:tcW w:type="dxa" w:w="5184"/>
          </w:tcPr>
          <w:p>
            <w:r>
              <w:t>As a finance manager, I want suspense clearing status so that unresolved items do not hide at month end.</w:t>
            </w:r>
          </w:p>
        </w:tc>
      </w:tr>
      <w:tr>
        <w:tc>
          <w:tcPr>
            <w:tcW w:type="dxa" w:w="5184"/>
          </w:tcPr>
          <w:p>
            <w:r>
              <w:t>03</w:t>
            </w:r>
          </w:p>
        </w:tc>
        <w:tc>
          <w:tcPr>
            <w:tcW w:type="dxa" w:w="5184"/>
          </w:tcPr>
          <w:p>
            <w:r>
              <w:t>As a reviewer, I want clear sign-off evidence so that reconciliation completion is defensible.</w:t>
            </w:r>
          </w:p>
        </w:tc>
      </w:tr>
      <w:tr>
        <w:tc>
          <w:tcPr>
            <w:tcW w:type="dxa" w:w="5184"/>
          </w:tcPr>
          <w:p>
            <w:r>
              <w:t>04</w:t>
            </w:r>
          </w:p>
        </w:tc>
        <w:tc>
          <w:tcPr>
            <w:tcW w:type="dxa" w:w="5184"/>
          </w:tcPr>
          <w:p>
            <w:r>
              <w:t>As an auditor, I want manual match override history so that judgemental matches can be reviewed.</w:t>
            </w:r>
          </w:p>
        </w:tc>
      </w:tr>
      <w:tr>
        <w:tc>
          <w:tcPr>
            <w:tcW w:type="dxa" w:w="5184"/>
          </w:tcPr>
          <w:p>
            <w:r>
              <w:t>05</w:t>
            </w:r>
          </w:p>
        </w:tc>
        <w:tc>
          <w:tcPr>
            <w:tcW w:type="dxa" w:w="5184"/>
          </w:tcPr>
          <w:p>
            <w:r>
              <w:t>As a treasury analyst, I want bank fees and transfers separated so that routine items are cleared quickly.</w:t>
            </w:r>
          </w:p>
        </w:tc>
      </w:tr>
    </w:tbl>
    <w:p>
      <w:pPr>
        <w:pStyle w:val="Heading1"/>
        <w:keepNext/>
      </w:pPr>
      <w:r>
        <w:t>13  UAT Test Cases</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top"/>
            <w:shd w:fill="DBEAFE"/>
          </w:tcPr>
          <w:p>
            <w:r>
              <w:rPr>
                <w:b/>
              </w:rPr>
              <w:t>Test ID</w:t>
            </w:r>
          </w:p>
        </w:tc>
        <w:tc>
          <w:tcPr>
            <w:tcW w:type="dxa" w:w="3456"/>
            <w:vAlign w:val="top"/>
            <w:shd w:fill="DBEAFE"/>
          </w:tcPr>
          <w:p>
            <w:r>
              <w:rPr>
                <w:b/>
              </w:rPr>
              <w:t>Scenario</w:t>
            </w:r>
          </w:p>
        </w:tc>
        <w:tc>
          <w:tcPr>
            <w:tcW w:type="dxa" w:w="3456"/>
            <w:vAlign w:val="top"/>
            <w:shd w:fill="DBEAFE"/>
          </w:tcPr>
          <w:p>
            <w:r>
              <w:rPr>
                <w:b/>
              </w:rPr>
              <w:t>Expected Result</w:t>
            </w:r>
          </w:p>
        </w:tc>
      </w:tr>
      <w:tr>
        <w:tc>
          <w:tcPr>
            <w:tcW w:type="dxa" w:w="3456"/>
          </w:tcPr>
          <w:p>
            <w:r>
              <w:t>UAT-01</w:t>
            </w:r>
          </w:p>
        </w:tc>
        <w:tc>
          <w:tcPr>
            <w:tcW w:type="dxa" w:w="3456"/>
          </w:tcPr>
          <w:p>
            <w:r>
              <w:t>A bank statement line has no ledger match after import.</w:t>
            </w:r>
          </w:p>
        </w:tc>
        <w:tc>
          <w:tcPr>
            <w:tcW w:type="dxa" w:w="3456"/>
          </w:tcPr>
          <w:p>
            <w:r>
              <w:t>The line is marked unmatched with owner, ageing, and reason fields required.</w:t>
            </w:r>
          </w:p>
        </w:tc>
      </w:tr>
      <w:tr>
        <w:tc>
          <w:tcPr>
            <w:tcW w:type="dxa" w:w="3456"/>
          </w:tcPr>
          <w:p>
            <w:r>
              <w:t>UAT-02</w:t>
            </w:r>
          </w:p>
        </w:tc>
        <w:tc>
          <w:tcPr>
            <w:tcW w:type="dxa" w:w="3456"/>
          </w:tcPr>
          <w:p>
            <w:r>
              <w:t>A suspense item remains open past the policy threshold.</w:t>
            </w:r>
          </w:p>
        </w:tc>
        <w:tc>
          <w:tcPr>
            <w:tcW w:type="dxa" w:w="3456"/>
          </w:tcPr>
          <w:p>
            <w:r>
              <w:t>The item is escalated and appears in the aged suspense view.</w:t>
            </w:r>
          </w:p>
        </w:tc>
      </w:tr>
      <w:tr>
        <w:tc>
          <w:tcPr>
            <w:tcW w:type="dxa" w:w="3456"/>
          </w:tcPr>
          <w:p>
            <w:r>
              <w:t>UAT-03</w:t>
            </w:r>
          </w:p>
        </w:tc>
        <w:tc>
          <w:tcPr>
            <w:tcW w:type="dxa" w:w="3456"/>
          </w:tcPr>
          <w:p>
            <w:r>
              <w:t>A preparer manually matches two transactions.</w:t>
            </w:r>
          </w:p>
        </w:tc>
        <w:tc>
          <w:tcPr>
            <w:tcW w:type="dxa" w:w="3456"/>
          </w:tcPr>
          <w:p>
            <w:r>
              <w:t>The manual override is logged and requires reviewer approval.</w:t>
            </w:r>
          </w:p>
        </w:tc>
      </w:tr>
      <w:tr>
        <w:tc>
          <w:tcPr>
            <w:tcW w:type="dxa" w:w="3456"/>
          </w:tcPr>
          <w:p>
            <w:r>
              <w:t>UAT-04</w:t>
            </w:r>
          </w:p>
        </w:tc>
        <w:tc>
          <w:tcPr>
            <w:tcW w:type="dxa" w:w="3456"/>
          </w:tcPr>
          <w:p>
            <w:r>
              <w:t>Reviewer signs off a completed reconciliation.</w:t>
            </w:r>
          </w:p>
        </w:tc>
        <w:tc>
          <w:tcPr>
            <w:tcW w:type="dxa" w:w="3456"/>
          </w:tcPr>
          <w:p>
            <w:r>
              <w:t>Reviewer name, timestamp, and outstanding item summary are saved.</w:t>
            </w:r>
          </w:p>
        </w:tc>
      </w:tr>
      <w:tr>
        <w:tc>
          <w:tcPr>
            <w:tcW w:type="dxa" w:w="3456"/>
          </w:tcPr>
          <w:p>
            <w:r>
              <w:t>UAT-05</w:t>
            </w:r>
          </w:p>
        </w:tc>
        <w:tc>
          <w:tcPr>
            <w:tcW w:type="dxa" w:w="3456"/>
          </w:tcPr>
          <w:p>
            <w:r>
              <w:t>A closed reconciliation period is reopened.</w:t>
            </w:r>
          </w:p>
        </w:tc>
        <w:tc>
          <w:tcPr>
            <w:tcW w:type="dxa" w:w="3456"/>
          </w:tcPr>
          <w:p>
            <w:r>
              <w:t>Reopen reason and approver are recorded before edits are allowed.</w:t>
            </w:r>
          </w:p>
        </w:tc>
      </w:tr>
      <w:tr>
        <w:tc>
          <w:tcPr>
            <w:tcW w:type="dxa" w:w="3456"/>
          </w:tcPr>
          <w:p>
            <w:r>
              <w:t>UAT-06</w:t>
            </w:r>
          </w:p>
        </w:tc>
        <w:tc>
          <w:tcPr>
            <w:tcW w:type="dxa" w:w="3456"/>
          </w:tcPr>
          <w:p>
            <w:r>
              <w:t>Month-end pack is exported.</w:t>
            </w:r>
          </w:p>
        </w:tc>
        <w:tc>
          <w:tcPr>
            <w:tcW w:type="dxa" w:w="3456"/>
          </w:tcPr>
          <w:p>
            <w:r>
              <w:t>The pack includes unmatched lines, ageing, suspense movements, and reviewer sign-off.</w:t>
            </w:r>
          </w:p>
        </w:tc>
      </w:tr>
    </w:tbl>
    <w:p>
      <w:pPr>
        <w:pStyle w:val="Heading1"/>
        <w:keepNext/>
      </w:pPr>
      <w:r>
        <w:t>14  Acceptance Criteria</w:t>
      </w:r>
    </w:p>
    <w:p>
      <w:pPr>
        <w:pStyle w:val="ListBullet"/>
        <w:spacing w:after="40"/>
      </w:pPr>
      <w:r>
        <w:t>Unmatched lines show owner, status, ageing, reason, and expected resolution date.</w:t>
      </w:r>
    </w:p>
    <w:p>
      <w:pPr>
        <w:pStyle w:val="ListBullet"/>
        <w:spacing w:after="40"/>
      </w:pPr>
      <w:r>
        <w:t>Suspense account items can be traced from bank line to clearing journal.</w:t>
      </w:r>
    </w:p>
    <w:p>
      <w:pPr>
        <w:pStyle w:val="ListBullet"/>
        <w:spacing w:after="40"/>
      </w:pPr>
      <w:r>
        <w:t>Reviewer sign-off is mandatory before period completion.</w:t>
      </w:r>
    </w:p>
    <w:p>
      <w:pPr>
        <w:pStyle w:val="ListBullet"/>
        <w:spacing w:after="40"/>
      </w:pPr>
      <w:r>
        <w:t>Manual overrides are visible in the audit trail.</w:t>
      </w:r>
    </w:p>
    <w:p>
      <w:pPr>
        <w:pStyle w:val="ListBullet"/>
        <w:spacing w:after="40"/>
      </w:pPr>
      <w:r>
        <w:t>Month-end reconciliation pack exports without manual formatting.</w:t>
      </w:r>
    </w:p>
    <w:p>
      <w:pPr>
        <w:pStyle w:val="Heading1"/>
        <w:keepNext/>
      </w:pPr>
      <w:r>
        <w:t>15  Implementation Risks and Dependencies</w:t>
      </w:r>
    </w:p>
    <w:p>
      <w:pPr>
        <w:pStyle w:val="ListBullet"/>
        <w:spacing w:after="40"/>
      </w:pPr>
      <w:r>
        <w:t>Bank statement formats must be standardised across accounts.</w:t>
      </w:r>
    </w:p>
    <w:p>
      <w:pPr>
        <w:pStyle w:val="ListBullet"/>
        <w:spacing w:after="40"/>
      </w:pPr>
      <w:r>
        <w:t>Ledger reference quality may limit automated matching rates.</w:t>
      </w:r>
    </w:p>
    <w:p>
      <w:pPr>
        <w:pStyle w:val="ListBullet"/>
        <w:spacing w:after="40"/>
      </w:pPr>
      <w:r>
        <w:t>Finance policy thresholds for ageing and escalation must be approved.</w:t>
      </w:r>
    </w:p>
    <w:p>
      <w:pPr>
        <w:pStyle w:val="ListBullet"/>
        <w:spacing w:after="40"/>
      </w:pPr>
      <w:r>
        <w:t>Reviewer roles must be configured before go-live.</w:t>
      </w:r>
    </w:p>
    <w:p>
      <w:pPr>
        <w:pStyle w:val="ListBullet"/>
        <w:spacing w:after="40"/>
      </w:pPr>
      <w:r>
        <w:t>Historic suspense items may need cleanup before migration.</w:t>
      </w:r>
    </w:p>
    <w:p>
      <w:pPr>
        <w:pStyle w:val="Heading1"/>
        <w:keepNext/>
      </w:pPr>
      <w:r>
        <w:t>16  Implementation Notes</w:t>
      </w:r>
    </w:p>
    <w:p>
      <w:pPr>
        <w:pStyle w:val="ListBullet"/>
        <w:spacing w:after="40"/>
      </w:pPr>
      <w:r>
        <w:t>Confirm Bank Reconciliation process owner and reviewer roles before design sign-off.</w:t>
      </w:r>
    </w:p>
    <w:p>
      <w:pPr>
        <w:pStyle w:val="ListBullet"/>
        <w:spacing w:after="40"/>
      </w:pPr>
      <w:r>
        <w:t>Validate the required data fields against Microsoft Dynamics 365 Business Central configuration.</w:t>
      </w:r>
    </w:p>
    <w:p>
      <w:pPr>
        <w:pStyle w:val="ListBullet"/>
        <w:spacing w:after="40"/>
      </w:pPr>
      <w:r>
        <w:t>Run UAT with approved sample scenarios before production data migration or cutover.</w:t>
      </w:r>
    </w:p>
    <w:p>
      <w:pPr>
        <w:pStyle w:val="ListBullet"/>
        <w:spacing w:after="40"/>
      </w:pPr>
      <w:r>
        <w:t>Keep any future AI-assisted drafting behind structured templates and human approval.</w:t>
      </w:r>
    </w:p>
    <w:p>
      <w:pPr>
        <w:pStyle w:val="Heading1"/>
        <w:keepNext/>
      </w:pPr>
      <w:r>
        <w:t>17  Public-Safe Sample Data Note</w:t>
      </w:r>
    </w:p>
    <w:p>
      <w:r>
        <w:t>This pack was generated from fictional, public-safe sample inputs. It does not contain real employer, client, supplier, bank, VAT, payroll, or operational data. Do not upload confidential business information into a public demo.</w:t>
      </w:r>
    </w:p>
    <w:sectPr w:rsidR="00FC693F" w:rsidRPr="0006063C" w:rsidSect="00034616">
      <w:headerReference w:type="default" r:id="rId9"/>
      <w:footerReference w:type="default" r:id="rId10"/>
      <w:type w:val="continuous"/>
      <w:pgSz w:w="12240" w:h="15840"/>
      <w:pgMar w:top="792" w:right="936" w:bottom="792"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Chez Solutions | Public-safe sample document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t>Bank Reconciliation Requirements Pack | BlueRiver Foods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Arial" w:hAnsi="Arial"/>
      <w:b/>
      <w:bCs/>
      <w:color w:val="1E40AF"/>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1F2937"/>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20"/>
      <w:contextualSpacing/>
    </w:pPr>
    <w:rPr>
      <w:rFonts w:asciiTheme="majorHAnsi" w:eastAsiaTheme="majorEastAsia" w:hAnsiTheme="majorHAnsi" w:cstheme="majorBidi" w:ascii="Arial" w:hAnsi="Arial"/>
      <w:color w:val="1F293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