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Intercompany Settlements</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Summit Group Holdings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14 entities, 320 intercompany lines, and 5 settlement currencies per month</w:t>
            </w:r>
          </w:p>
        </w:tc>
        <w:tc>
          <w:tcPr>
            <w:tcW w:type="dxa" w:w="2074"/>
            <w:shd w:fill="EFF6FF"/>
            <w:vAlign w:val="center"/>
          </w:tcPr>
          <w:p>
            <w:r/>
            <w:r>
              <w:rPr>
                <w:b/>
                <w:color w:val="1E40AF"/>
                <w:sz w:val="14"/>
              </w:rPr>
              <w:t>DELIVERY</w:t>
            </w:r>
          </w:p>
          <w:p>
            <w:pPr>
              <w:jc w:val="center"/>
            </w:pPr>
            <w:r>
              <w:rPr>
                <w:b/>
                <w:sz w:val="18"/>
              </w:rPr>
              <w:t>10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Summit Group Holdings Ltd needs a structured Intercompany Settlements requirements pack to reduce rework, clarify control ownership, and make Oracle NetSuite OneWorld implementation decisions testable. The pack translates intercompany mismatch ageing, recharge rule ambiguity, and fX difference review gaps into requirements for workflow, data, controls, reporting, audit trail, and UAT. It is sized for 14 entities, 320 intercompany lines, and 5 settlement currencies per month and frames the control design, reporting outputs, and acceptance criteria needed within a target delivery window of 10 weeks.</w:t>
      </w:r>
    </w:p>
    <w:p>
      <w:pPr>
        <w:pStyle w:val="Heading1"/>
        <w:keepNext/>
      </w:pPr>
      <w:r>
        <w:t>02  Business Problem</w:t>
      </w:r>
    </w:p>
    <w:p>
      <w:r>
        <w:t>The current Intercompany Settlements process relies on Entity ERP ledgers, recharge spreadsheets, and group consolidation workbook. That creates avoidable risk around intercompany mismatch ageing, recharge rule ambiguity, and fX difference review gaps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Intercompany recharge creation, counterparty confirmation, matching, settlement tracking, FX difference review, and elimination support; Visibility of balances by entity, counterparty, transaction type, currency, owner, and ageing; and Controls over recharge approval, settlement readiness, and period-end elimination evidence. The design will support multi-entity group with shared service recharges users on Oracle NetSuite OneWorld, with emphasis on counterparty confirmation, recharge approval, settlement evidence, and elimination support.</w:t>
      </w:r>
    </w:p>
    <w:p>
      <w:pPr>
        <w:pStyle w:val="Heading1"/>
        <w:keepNext/>
      </w:pPr>
      <w:r>
        <w:t>04  In Scope</w:t>
      </w:r>
    </w:p>
    <w:p>
      <w:pPr>
        <w:pStyle w:val="ListBullet"/>
        <w:spacing w:after="40"/>
      </w:pPr>
      <w:r>
        <w:t>Intercompany Settlements requirements for the agreed multi-entity group with shared service recharges process.</w:t>
      </w:r>
    </w:p>
    <w:p>
      <w:pPr>
        <w:pStyle w:val="ListBullet"/>
        <w:spacing w:after="40"/>
      </w:pPr>
      <w:r>
        <w:t>Workflow, data, controls, reporting, audit trail, and UAT requirements for Oracle NetSuite OneWorld.</w:t>
      </w:r>
    </w:p>
    <w:p>
      <w:pPr>
        <w:pStyle w:val="ListBullet"/>
        <w:spacing w:after="40"/>
      </w:pPr>
      <w:r>
        <w:t>Process pain points covering intercompany mismatch ageing, recharge rule ambiguity, and fX difference review gaps.</w:t>
      </w:r>
    </w:p>
    <w:p>
      <w:pPr>
        <w:pStyle w:val="ListBullet"/>
        <w:spacing w:after="40"/>
      </w:pPr>
      <w:r>
        <w:t>Reporting requirement: Entity-pair ageing, unmatched balances, recharge approvals, and FX difference summary.</w:t>
      </w:r>
    </w:p>
    <w:p>
      <w:pPr>
        <w:pStyle w:val="ListBullet"/>
        <w:spacing w:after="40"/>
      </w:pPr>
      <w:r>
        <w:t>Implementation window and readiness assumptions for the 10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Intercompany Settlements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Intercompany Settlements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Capture originating entity, counterparty entity, recharge type, currency, amount, tax treatment, and settlement status.</w:t>
            </w:r>
          </w:p>
        </w:tc>
      </w:tr>
      <w:tr>
        <w:tc>
          <w:tcPr>
            <w:tcW w:type="dxa" w:w="5184"/>
          </w:tcPr>
          <w:p>
            <w:r>
              <w:t>FR-02</w:t>
            </w:r>
          </w:p>
        </w:tc>
        <w:tc>
          <w:tcPr>
            <w:tcW w:type="dxa" w:w="5184"/>
          </w:tcPr>
          <w:p>
            <w:r>
              <w:t>Match intercompany AR/AP balances by counterparty, invoice reference, amount, currency, and period.</w:t>
            </w:r>
          </w:p>
        </w:tc>
      </w:tr>
      <w:tr>
        <w:tc>
          <w:tcPr>
            <w:tcW w:type="dxa" w:w="5184"/>
          </w:tcPr>
          <w:p>
            <w:r>
              <w:t>FR-03</w:t>
            </w:r>
          </w:p>
        </w:tc>
        <w:tc>
          <w:tcPr>
            <w:tcW w:type="dxa" w:w="5184"/>
          </w:tcPr>
          <w:p>
            <w:r>
              <w:t>Track unmatched intercompany balances with owner, ageing, reason code, and expected settlement date.</w:t>
            </w:r>
          </w:p>
        </w:tc>
      </w:tr>
      <w:tr>
        <w:tc>
          <w:tcPr>
            <w:tcW w:type="dxa" w:w="5184"/>
          </w:tcPr>
          <w:p>
            <w:r>
              <w:t>FR-04</w:t>
            </w:r>
          </w:p>
        </w:tc>
        <w:tc>
          <w:tcPr>
            <w:tcW w:type="dxa" w:w="5184"/>
          </w:tcPr>
          <w:p>
            <w:r>
              <w:t>Store recharge rules, allocation basis, supporting calculation, requester, reviewer, and approval status.</w:t>
            </w:r>
          </w:p>
        </w:tc>
      </w:tr>
      <w:tr>
        <w:tc>
          <w:tcPr>
            <w:tcW w:type="dxa" w:w="5184"/>
          </w:tcPr>
          <w:p>
            <w:r>
              <w:t>FR-05</w:t>
            </w:r>
          </w:p>
        </w:tc>
        <w:tc>
          <w:tcPr>
            <w:tcW w:type="dxa" w:w="5184"/>
          </w:tcPr>
          <w:p>
            <w:r>
              <w:t>Identify FX differences by entity pair, currency, transaction reference, and materiality threshold.</w:t>
            </w:r>
          </w:p>
        </w:tc>
      </w:tr>
      <w:tr>
        <w:tc>
          <w:tcPr>
            <w:tcW w:type="dxa" w:w="5184"/>
          </w:tcPr>
          <w:p>
            <w:r>
              <w:t>FR-06</w:t>
            </w:r>
          </w:p>
        </w:tc>
        <w:tc>
          <w:tcPr>
            <w:tcW w:type="dxa" w:w="5184"/>
          </w:tcPr>
          <w:p>
            <w:r>
              <w:t>Require counterparty confirmation before settlement readiness or elimination support sign-off.</w:t>
            </w:r>
          </w:p>
        </w:tc>
      </w:tr>
      <w:tr>
        <w:tc>
          <w:tcPr>
            <w:tcW w:type="dxa" w:w="5184"/>
          </w:tcPr>
          <w:p>
            <w:r>
              <w:t>FR-07</w:t>
            </w:r>
          </w:p>
        </w:tc>
        <w:tc>
          <w:tcPr>
            <w:tcW w:type="dxa" w:w="5184"/>
          </w:tcPr>
          <w:p>
            <w:r>
              <w:t>Produce intercompany ageing and mismatch reports by entity pair and transaction type.</w:t>
            </w:r>
          </w:p>
        </w:tc>
      </w:tr>
      <w:tr>
        <w:tc>
          <w:tcPr>
            <w:tcW w:type="dxa" w:w="5184"/>
          </w:tcPr>
          <w:p>
            <w:r>
              <w:t>FR-08</w:t>
            </w:r>
          </w:p>
        </w:tc>
        <w:tc>
          <w:tcPr>
            <w:tcW w:type="dxa" w:w="5184"/>
          </w:tcPr>
          <w:p>
            <w:r>
              <w:t>Export elimination support evidence for group reporting review.</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Originating entity</w:t>
            </w:r>
          </w:p>
        </w:tc>
      </w:tr>
      <w:tr>
        <w:tc>
          <w:tcPr>
            <w:tcW w:type="dxa" w:w="5184"/>
          </w:tcPr>
          <w:p>
            <w:r>
              <w:t>DR-02</w:t>
            </w:r>
          </w:p>
        </w:tc>
        <w:tc>
          <w:tcPr>
            <w:tcW w:type="dxa" w:w="5184"/>
          </w:tcPr>
          <w:p>
            <w:r>
              <w:t>Counterparty entity</w:t>
            </w:r>
          </w:p>
        </w:tc>
      </w:tr>
      <w:tr>
        <w:tc>
          <w:tcPr>
            <w:tcW w:type="dxa" w:w="5184"/>
          </w:tcPr>
          <w:p>
            <w:r>
              <w:t>DR-03</w:t>
            </w:r>
          </w:p>
        </w:tc>
        <w:tc>
          <w:tcPr>
            <w:tcW w:type="dxa" w:w="5184"/>
          </w:tcPr>
          <w:p>
            <w:r>
              <w:t>Recharge reference</w:t>
            </w:r>
          </w:p>
        </w:tc>
      </w:tr>
      <w:tr>
        <w:tc>
          <w:tcPr>
            <w:tcW w:type="dxa" w:w="5184"/>
          </w:tcPr>
          <w:p>
            <w:r>
              <w:t>DR-04</w:t>
            </w:r>
          </w:p>
        </w:tc>
        <w:tc>
          <w:tcPr>
            <w:tcW w:type="dxa" w:w="5184"/>
          </w:tcPr>
          <w:p>
            <w:r>
              <w:t>Counterparty invoice reference</w:t>
            </w:r>
          </w:p>
        </w:tc>
      </w:tr>
      <w:tr>
        <w:tc>
          <w:tcPr>
            <w:tcW w:type="dxa" w:w="5184"/>
          </w:tcPr>
          <w:p>
            <w:r>
              <w:t>DR-05</w:t>
            </w:r>
          </w:p>
        </w:tc>
        <w:tc>
          <w:tcPr>
            <w:tcW w:type="dxa" w:w="5184"/>
          </w:tcPr>
          <w:p>
            <w:r>
              <w:t>Transaction currency</w:t>
            </w:r>
          </w:p>
        </w:tc>
      </w:tr>
      <w:tr>
        <w:tc>
          <w:tcPr>
            <w:tcW w:type="dxa" w:w="5184"/>
          </w:tcPr>
          <w:p>
            <w:r>
              <w:t>DR-06</w:t>
            </w:r>
          </w:p>
        </w:tc>
        <w:tc>
          <w:tcPr>
            <w:tcW w:type="dxa" w:w="5184"/>
          </w:tcPr>
          <w:p>
            <w:r>
              <w:t>Settlement status</w:t>
            </w:r>
          </w:p>
        </w:tc>
      </w:tr>
      <w:tr>
        <w:tc>
          <w:tcPr>
            <w:tcW w:type="dxa" w:w="5184"/>
          </w:tcPr>
          <w:p>
            <w:r>
              <w:t>DR-07</w:t>
            </w:r>
          </w:p>
        </w:tc>
        <w:tc>
          <w:tcPr>
            <w:tcW w:type="dxa" w:w="5184"/>
          </w:tcPr>
          <w:p>
            <w:r>
              <w:t>FX difference</w:t>
            </w:r>
          </w:p>
        </w:tc>
      </w:tr>
      <w:tr>
        <w:tc>
          <w:tcPr>
            <w:tcW w:type="dxa" w:w="5184"/>
          </w:tcPr>
          <w:p>
            <w:r>
              <w:t>DR-08</w:t>
            </w:r>
          </w:p>
        </w:tc>
        <w:tc>
          <w:tcPr>
            <w:tcW w:type="dxa" w:w="5184"/>
          </w:tcPr>
          <w:p>
            <w:r>
              <w:t>Elimination support reference</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Recharge rules and allocation basis require finance owner approval.</w:t>
            </w:r>
          </w:p>
        </w:tc>
      </w:tr>
      <w:tr>
        <w:tc>
          <w:tcPr>
            <w:tcW w:type="dxa" w:w="5184"/>
          </w:tcPr>
          <w:p>
            <w:r>
              <w:t>CTRL-02</w:t>
            </w:r>
          </w:p>
        </w:tc>
        <w:tc>
          <w:tcPr>
            <w:tcW w:type="dxa" w:w="5184"/>
          </w:tcPr>
          <w:p>
            <w:r>
              <w:t>Counterparty confirmation is required before settlement readiness.</w:t>
            </w:r>
          </w:p>
        </w:tc>
      </w:tr>
      <w:tr>
        <w:tc>
          <w:tcPr>
            <w:tcW w:type="dxa" w:w="5184"/>
          </w:tcPr>
          <w:p>
            <w:r>
              <w:t>CTRL-03</w:t>
            </w:r>
          </w:p>
        </w:tc>
        <w:tc>
          <w:tcPr>
            <w:tcW w:type="dxa" w:w="5184"/>
          </w:tcPr>
          <w:p>
            <w:r>
              <w:t>Aged unmatched intercompany balances escalate to group finance.</w:t>
            </w:r>
          </w:p>
        </w:tc>
      </w:tr>
      <w:tr>
        <w:tc>
          <w:tcPr>
            <w:tcW w:type="dxa" w:w="5184"/>
          </w:tcPr>
          <w:p>
            <w:r>
              <w:t>CTRL-04</w:t>
            </w:r>
          </w:p>
        </w:tc>
        <w:tc>
          <w:tcPr>
            <w:tcW w:type="dxa" w:w="5184"/>
          </w:tcPr>
          <w:p>
            <w:r>
              <w:t>FX differences over materiality threshold require review and explanation.</w:t>
            </w:r>
          </w:p>
        </w:tc>
      </w:tr>
      <w:tr>
        <w:tc>
          <w:tcPr>
            <w:tcW w:type="dxa" w:w="5184"/>
          </w:tcPr>
          <w:p>
            <w:r>
              <w:t>CTRL-05</w:t>
            </w:r>
          </w:p>
        </w:tc>
        <w:tc>
          <w:tcPr>
            <w:tcW w:type="dxa" w:w="5184"/>
          </w:tcPr>
          <w:p>
            <w:r>
              <w:t>Elimination support cannot be marked complete until mismatches are resolved or approved.</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Entity-pair ageing, unmatched balances, recharge approvals, and FX difference summary.</w:t>
            </w:r>
          </w:p>
        </w:tc>
      </w:tr>
      <w:tr>
        <w:tc>
          <w:tcPr>
            <w:tcW w:type="dxa" w:w="5184"/>
          </w:tcPr>
          <w:p>
            <w:r>
              <w:t>RPT-02</w:t>
            </w:r>
          </w:p>
        </w:tc>
        <w:tc>
          <w:tcPr>
            <w:tcW w:type="dxa" w:w="5184"/>
          </w:tcPr>
          <w:p>
            <w:r>
              <w:t>Show owner, status, ageing, exception reason, and next action where relevant to Intercompany Settlements.</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recharge creation, approval, counterparty confirmation, settlement, and elimination sign-off timestamps.</w:t>
            </w:r>
          </w:p>
        </w:tc>
      </w:tr>
      <w:tr>
        <w:tc>
          <w:tcPr>
            <w:tcW w:type="dxa" w:w="5184"/>
          </w:tcPr>
          <w:p>
            <w:r>
              <w:t>AUD-02</w:t>
            </w:r>
          </w:p>
        </w:tc>
        <w:tc>
          <w:tcPr>
            <w:tcW w:type="dxa" w:w="5184"/>
          </w:tcPr>
          <w:p>
            <w:r>
              <w:t>Record allocation basis changes with requester, reviewer, reason, and effective period.</w:t>
            </w:r>
          </w:p>
        </w:tc>
      </w:tr>
      <w:tr>
        <w:tc>
          <w:tcPr>
            <w:tcW w:type="dxa" w:w="5184"/>
          </w:tcPr>
          <w:p>
            <w:r>
              <w:t>AUD-03</w:t>
            </w:r>
          </w:p>
        </w:tc>
        <w:tc>
          <w:tcPr>
            <w:tcW w:type="dxa" w:w="5184"/>
          </w:tcPr>
          <w:p>
            <w:r>
              <w:t>Track unmatched balance owner/status history by entity pair.</w:t>
            </w:r>
          </w:p>
        </w:tc>
      </w:tr>
      <w:tr>
        <w:tc>
          <w:tcPr>
            <w:tcW w:type="dxa" w:w="5184"/>
          </w:tcPr>
          <w:p>
            <w:r>
              <w:t>AUD-04</w:t>
            </w:r>
          </w:p>
        </w:tc>
        <w:tc>
          <w:tcPr>
            <w:tcW w:type="dxa" w:w="5184"/>
          </w:tcPr>
          <w:p>
            <w:r>
              <w:t>Preserve FX difference explanations and reviewer decisions.</w:t>
            </w:r>
          </w:p>
        </w:tc>
      </w:tr>
      <w:tr>
        <w:tc>
          <w:tcPr>
            <w:tcW w:type="dxa" w:w="5184"/>
          </w:tcPr>
          <w:p>
            <w:r>
              <w:t>AUD-05</w:t>
            </w:r>
          </w:p>
        </w:tc>
        <w:tc>
          <w:tcPr>
            <w:tcW w:type="dxa" w:w="5184"/>
          </w:tcPr>
          <w:p>
            <w:r>
              <w:t>Keep counterparty confirmation evidence and settlement approval references.</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an entity accountant, I want counterparty confirmation so that intercompany mismatches are resolved before close.</w:t>
            </w:r>
          </w:p>
        </w:tc>
      </w:tr>
      <w:tr>
        <w:tc>
          <w:tcPr>
            <w:tcW w:type="dxa" w:w="5184"/>
          </w:tcPr>
          <w:p>
            <w:r>
              <w:t>02</w:t>
            </w:r>
          </w:p>
        </w:tc>
        <w:tc>
          <w:tcPr>
            <w:tcW w:type="dxa" w:w="5184"/>
          </w:tcPr>
          <w:p>
            <w:r>
              <w:t>As group finance, I want ageing by entity pair so that old balances are escalated quickly.</w:t>
            </w:r>
          </w:p>
        </w:tc>
      </w:tr>
      <w:tr>
        <w:tc>
          <w:tcPr>
            <w:tcW w:type="dxa" w:w="5184"/>
          </w:tcPr>
          <w:p>
            <w:r>
              <w:t>03</w:t>
            </w:r>
          </w:p>
        </w:tc>
        <w:tc>
          <w:tcPr>
            <w:tcW w:type="dxa" w:w="5184"/>
          </w:tcPr>
          <w:p>
            <w:r>
              <w:t>As a recharge preparer, I want approved allocation rules so that recharge calculations are consistent.</w:t>
            </w:r>
          </w:p>
        </w:tc>
      </w:tr>
      <w:tr>
        <w:tc>
          <w:tcPr>
            <w:tcW w:type="dxa" w:w="5184"/>
          </w:tcPr>
          <w:p>
            <w:r>
              <w:t>04</w:t>
            </w:r>
          </w:p>
        </w:tc>
        <w:tc>
          <w:tcPr>
            <w:tcW w:type="dxa" w:w="5184"/>
          </w:tcPr>
          <w:p>
            <w:r>
              <w:t>As a reviewer, I want FX differences explained so that group reporting variances are defensible.</w:t>
            </w:r>
          </w:p>
        </w:tc>
      </w:tr>
      <w:tr>
        <w:tc>
          <w:tcPr>
            <w:tcW w:type="dxa" w:w="5184"/>
          </w:tcPr>
          <w:p>
            <w:r>
              <w:t>05</w:t>
            </w:r>
          </w:p>
        </w:tc>
        <w:tc>
          <w:tcPr>
            <w:tcW w:type="dxa" w:w="5184"/>
          </w:tcPr>
          <w:p>
            <w:r>
              <w:t>As an auditor, I want elimination support evidence so that consolidation adjustments are traceable.</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Intercompany AR balance does not match the counterparty AP balance.</w:t>
            </w:r>
          </w:p>
        </w:tc>
        <w:tc>
          <w:tcPr>
            <w:tcW w:type="dxa" w:w="3456"/>
          </w:tcPr>
          <w:p>
            <w:r>
              <w:t>A mismatch is created with entity pair, owner, ageing, and reason fields.</w:t>
            </w:r>
          </w:p>
        </w:tc>
      </w:tr>
      <w:tr>
        <w:tc>
          <w:tcPr>
            <w:tcW w:type="dxa" w:w="3456"/>
          </w:tcPr>
          <w:p>
            <w:r>
              <w:t>UAT-02</w:t>
            </w:r>
          </w:p>
        </w:tc>
        <w:tc>
          <w:tcPr>
            <w:tcW w:type="dxa" w:w="3456"/>
          </w:tcPr>
          <w:p>
            <w:r>
              <w:t>Recharge allocation basis is changed.</w:t>
            </w:r>
          </w:p>
        </w:tc>
        <w:tc>
          <w:tcPr>
            <w:tcW w:type="dxa" w:w="3456"/>
          </w:tcPr>
          <w:p>
            <w:r>
              <w:t>The change requires approval and stores reason, requester, reviewer, and effective period.</w:t>
            </w:r>
          </w:p>
        </w:tc>
      </w:tr>
      <w:tr>
        <w:tc>
          <w:tcPr>
            <w:tcW w:type="dxa" w:w="3456"/>
          </w:tcPr>
          <w:p>
            <w:r>
              <w:t>UAT-03</w:t>
            </w:r>
          </w:p>
        </w:tc>
        <w:tc>
          <w:tcPr>
            <w:tcW w:type="dxa" w:w="3456"/>
          </w:tcPr>
          <w:p>
            <w:r>
              <w:t>Counterparty confirmation is missing.</w:t>
            </w:r>
          </w:p>
        </w:tc>
        <w:tc>
          <w:tcPr>
            <w:tcW w:type="dxa" w:w="3456"/>
          </w:tcPr>
          <w:p>
            <w:r>
              <w:t>Settlement readiness and elimination sign-off are blocked.</w:t>
            </w:r>
          </w:p>
        </w:tc>
      </w:tr>
      <w:tr>
        <w:tc>
          <w:tcPr>
            <w:tcW w:type="dxa" w:w="3456"/>
          </w:tcPr>
          <w:p>
            <w:r>
              <w:t>UAT-04</w:t>
            </w:r>
          </w:p>
        </w:tc>
        <w:tc>
          <w:tcPr>
            <w:tcW w:type="dxa" w:w="3456"/>
          </w:tcPr>
          <w:p>
            <w:r>
              <w:t>FX difference exceeds materiality threshold.</w:t>
            </w:r>
          </w:p>
        </w:tc>
        <w:tc>
          <w:tcPr>
            <w:tcW w:type="dxa" w:w="3456"/>
          </w:tcPr>
          <w:p>
            <w:r>
              <w:t>Review explanation and approval are required before completion.</w:t>
            </w:r>
          </w:p>
        </w:tc>
      </w:tr>
      <w:tr>
        <w:tc>
          <w:tcPr>
            <w:tcW w:type="dxa" w:w="3456"/>
          </w:tcPr>
          <w:p>
            <w:r>
              <w:t>UAT-05</w:t>
            </w:r>
          </w:p>
        </w:tc>
        <w:tc>
          <w:tcPr>
            <w:tcW w:type="dxa" w:w="3456"/>
          </w:tcPr>
          <w:p>
            <w:r>
              <w:t>Aged unmatched balance passes escalation threshold.</w:t>
            </w:r>
          </w:p>
        </w:tc>
        <w:tc>
          <w:tcPr>
            <w:tcW w:type="dxa" w:w="3456"/>
          </w:tcPr>
          <w:p>
            <w:r>
              <w:t>Group finance receives escalation and the item appears in the aged mismatch report.</w:t>
            </w:r>
          </w:p>
        </w:tc>
      </w:tr>
      <w:tr>
        <w:tc>
          <w:tcPr>
            <w:tcW w:type="dxa" w:w="3456"/>
          </w:tcPr>
          <w:p>
            <w:r>
              <w:t>UAT-06</w:t>
            </w:r>
          </w:p>
        </w:tc>
        <w:tc>
          <w:tcPr>
            <w:tcW w:type="dxa" w:w="3456"/>
          </w:tcPr>
          <w:p>
            <w:r>
              <w:t>Intercompany settlement pack is exported.</w:t>
            </w:r>
          </w:p>
        </w:tc>
        <w:tc>
          <w:tcPr>
            <w:tcW w:type="dxa" w:w="3456"/>
          </w:tcPr>
          <w:p>
            <w:r>
              <w:t>The pack includes balances, mismatches, confirmations, FX differences, settlement status, and elimination evidence.</w:t>
            </w:r>
          </w:p>
        </w:tc>
      </w:tr>
    </w:tbl>
    <w:p>
      <w:pPr>
        <w:pStyle w:val="Heading1"/>
        <w:keepNext/>
      </w:pPr>
      <w:r>
        <w:t>14  Acceptance Criteria</w:t>
      </w:r>
    </w:p>
    <w:p>
      <w:pPr>
        <w:pStyle w:val="ListBullet"/>
        <w:spacing w:after="40"/>
      </w:pPr>
      <w:r>
        <w:t>Intercompany balances show entity pair, currency, reference, owner, status, and ageing.</w:t>
      </w:r>
    </w:p>
    <w:p>
      <w:pPr>
        <w:pStyle w:val="ListBullet"/>
        <w:spacing w:after="40"/>
      </w:pPr>
      <w:r>
        <w:t>Recharge allocation rules are approved and versioned.</w:t>
      </w:r>
    </w:p>
    <w:p>
      <w:pPr>
        <w:pStyle w:val="ListBullet"/>
        <w:spacing w:after="40"/>
      </w:pPr>
      <w:r>
        <w:t>Counterparty confirmation is required before settlement readiness.</w:t>
      </w:r>
    </w:p>
    <w:p>
      <w:pPr>
        <w:pStyle w:val="ListBullet"/>
        <w:spacing w:after="40"/>
      </w:pPr>
      <w:r>
        <w:t>FX differences above threshold are explained and approved.</w:t>
      </w:r>
    </w:p>
    <w:p>
      <w:pPr>
        <w:pStyle w:val="ListBullet"/>
        <w:spacing w:after="40"/>
      </w:pPr>
      <w:r>
        <w:t>Elimination support exports with mismatch and sign-off evidence.</w:t>
      </w:r>
    </w:p>
    <w:p>
      <w:pPr>
        <w:pStyle w:val="Heading1"/>
        <w:keepNext/>
      </w:pPr>
      <w:r>
        <w:t>15  Implementation Risks and Dependencies</w:t>
      </w:r>
    </w:p>
    <w:p>
      <w:pPr>
        <w:pStyle w:val="ListBullet"/>
        <w:spacing w:after="40"/>
      </w:pPr>
      <w:r>
        <w:t>Entity chart-of-account mapping must be aligned for counterparty matching.</w:t>
      </w:r>
    </w:p>
    <w:p>
      <w:pPr>
        <w:pStyle w:val="ListBullet"/>
        <w:spacing w:after="40"/>
      </w:pPr>
      <w:r>
        <w:t>Recharge policies and allocation methods require group finance approval.</w:t>
      </w:r>
    </w:p>
    <w:p>
      <w:pPr>
        <w:pStyle w:val="ListBullet"/>
        <w:spacing w:after="40"/>
      </w:pPr>
      <w:r>
        <w:t>Multi-currency treatment must align with accounting policy.</w:t>
      </w:r>
    </w:p>
    <w:p>
      <w:pPr>
        <w:pStyle w:val="ListBullet"/>
        <w:spacing w:after="40"/>
      </w:pPr>
      <w:r>
        <w:t>Historic unmatched balances may need remediation before rollout.</w:t>
      </w:r>
    </w:p>
    <w:p>
      <w:pPr>
        <w:pStyle w:val="ListBullet"/>
        <w:spacing w:after="40"/>
      </w:pPr>
      <w:r>
        <w:t>Entity teams must agree ownership of mismatch resolution.</w:t>
      </w:r>
    </w:p>
    <w:p>
      <w:pPr>
        <w:pStyle w:val="Heading1"/>
        <w:keepNext/>
      </w:pPr>
      <w:r>
        <w:t>16  Implementation Notes</w:t>
      </w:r>
    </w:p>
    <w:p>
      <w:pPr>
        <w:pStyle w:val="ListBullet"/>
        <w:spacing w:after="40"/>
      </w:pPr>
      <w:r>
        <w:t>Confirm Intercompany Settlements process owner and reviewer roles before design sign-off.</w:t>
      </w:r>
    </w:p>
    <w:p>
      <w:pPr>
        <w:pStyle w:val="ListBullet"/>
        <w:spacing w:after="40"/>
      </w:pPr>
      <w:r>
        <w:t>Validate the required data fields against Oracle NetSuite OneWorld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Intercompany Settlements Requirements Pack | Summit Group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