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360"/>
      </w:tblGrid>
      <w:tr>
        <w:tc>
          <w:tcPr>
            <w:tcW w:type="dxa" w:w="9360"/>
            <w:shd w:fill="16243D"/>
            <w:tcMar>
              <w:top w:w="560" w:type="dxa"/>
              <w:bottom w:w="560" w:type="dxa"/>
              <w:left w:w="420" w:type="dxa"/>
              <w:right w:w="420" w:type="dxa"/>
            </w:tcMar>
          </w:tcPr>
          <w:p>
            <w:pPr>
              <w:spacing w:after="120"/>
            </w:pPr>
            <w:r/>
            <w:r>
              <w:rPr>
                <w:rFonts w:ascii="Arial" w:hAnsi="Arial"/>
                <w:b/>
                <w:i w:val="0"/>
                <w:color w:val="C9A24B"/>
                <w:sz w:val="16"/>
              </w:rPr>
              <w:t>FINANCE · ERP IMPLEMENTATION</w:t>
            </w:r>
          </w:p>
          <w:p>
            <w:pPr>
              <w:spacing w:after="40"/>
            </w:pPr>
            <w:r>
              <w:rPr>
                <w:rFonts w:ascii="Arial" w:hAnsi="Arial"/>
                <w:b/>
                <w:i w:val="0"/>
                <w:color w:val="FFFFFF"/>
                <w:sz w:val="56"/>
              </w:rPr>
              <w:t>Bank Reconciliation</w:t>
            </w:r>
          </w:p>
          <w:p>
            <w:pPr>
              <w:spacing w:after="200"/>
            </w:pPr>
            <w:r>
              <w:rPr>
                <w:rFonts w:ascii="Arial" w:hAnsi="Arial"/>
                <w:b/>
                <w:i w:val="0"/>
                <w:color w:val="C7D3E3"/>
                <w:sz w:val="56"/>
              </w:rPr>
              <w:t>Requirements Pack</w:t>
            </w:r>
          </w:p>
          <w:p>
            <w:pPr>
              <w:spacing w:after="160"/>
              <w:pBdr>
                <w:bottom w:val="single" w:sz="14" w:space="4" w:color="C9A24B"/>
              </w:pBdr>
            </w:pPr>
          </w:p>
          <w:p>
            <w:r>
              <w:rPr>
                <w:rFonts w:ascii="Arial" w:hAnsi="Arial"/>
                <w:b w:val="0"/>
                <w:i w:val="0"/>
                <w:color w:val="9DB0CC"/>
                <w:sz w:val="20"/>
              </w:rPr>
              <w:t xml:space="preserve">Prepared for  </w:t>
            </w:r>
            <w:r>
              <w:rPr>
                <w:rFonts w:ascii="Arial" w:hAnsi="Arial"/>
                <w:b/>
                <w:i w:val="0"/>
                <w:color w:val="FFFFFF"/>
                <w:sz w:val="22"/>
              </w:rPr>
              <w:t>BlueRiver Foods Ltd</w:t>
            </w:r>
          </w:p>
        </w:tc>
      </w:tr>
    </w:tbl>
    <w:p>
      <w:pPr>
        <w:spacing w:after="140"/>
      </w:pPr>
    </w:p>
    <w:tbl>
      <w:tblPr>
        <w:tblW w:type="dxa" w:w="9360"/>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2340"/>
        <w:gridCol w:w="2340"/>
        <w:gridCol w:w="2340"/>
        <w:gridCol w:w="2340"/>
      </w:tblGrid>
      <w:tr>
        <w:tc>
          <w:tcPr>
            <w:tcW w:type="dxa" w:w="2340"/>
            <w:shd w:fill="F5F7FA"/>
            <w:tcMar>
              <w:top w:w="120" w:type="dxa"/>
              <w:bottom w:w="120" w:type="dxa"/>
              <w:left w:w="150" w:type="dxa"/>
              <w:right w:w="120" w:type="dxa"/>
            </w:tcMar>
            <w:tcBorders>
              <w:left w:val="single" w:sz="14" w:space="0" w:color="C9A24B"/>
              <w:right w:val="single" w:sz="14" w:space="0" w:color="FFFFFF"/>
            </w:tcBorders>
          </w:tcPr>
          <w:p>
            <w:pPr>
              <w:spacing w:after="30"/>
            </w:pPr>
            <w:r/>
            <w:r>
              <w:rPr>
                <w:rFonts w:ascii="Arial" w:hAnsi="Arial"/>
                <w:b w:val="0"/>
                <w:i w:val="0"/>
                <w:color w:val="6B7280"/>
                <w:sz w:val="13"/>
              </w:rPr>
              <w:t>PREPARED BY</w:t>
            </w:r>
          </w:p>
          <w:p>
            <w:pPr>
              <w:spacing w:after="0"/>
            </w:pPr>
            <w:r>
              <w:rPr>
                <w:rFonts w:ascii="Arial" w:hAnsi="Arial"/>
                <w:b/>
                <w:i w:val="0"/>
                <w:color w:val="16243D"/>
                <w:sz w:val="19"/>
              </w:rPr>
              <w:t>Chez Solutions</w:t>
            </w:r>
          </w:p>
        </w:tc>
        <w:tc>
          <w:tcPr>
            <w:tcW w:type="dxa" w:w="2340"/>
            <w:shd w:fill="F5F7FA"/>
            <w:tcMar>
              <w:top w:w="120" w:type="dxa"/>
              <w:bottom w:w="120" w:type="dxa"/>
              <w:left w:w="150" w:type="dxa"/>
              <w:right w:w="120" w:type="dxa"/>
            </w:tcMar>
            <w:tcBorders>
              <w:left w:val="single" w:sz="14" w:space="0" w:color="C9A24B"/>
              <w:right w:val="single" w:sz="14" w:space="0" w:color="FFFFFF"/>
            </w:tcBorders>
          </w:tcPr>
          <w:p>
            <w:pPr>
              <w:spacing w:after="30"/>
            </w:pPr>
            <w:r/>
            <w:r>
              <w:rPr>
                <w:rFonts w:ascii="Arial" w:hAnsi="Arial"/>
                <w:b w:val="0"/>
                <w:i w:val="0"/>
                <w:color w:val="6B7280"/>
                <w:sz w:val="13"/>
              </w:rPr>
              <w:t>PREPARED FOR</w:t>
            </w:r>
          </w:p>
          <w:p>
            <w:pPr>
              <w:spacing w:after="0"/>
            </w:pPr>
            <w:r>
              <w:rPr>
                <w:rFonts w:ascii="Arial" w:hAnsi="Arial"/>
                <w:b/>
                <w:i w:val="0"/>
                <w:color w:val="16243D"/>
                <w:sz w:val="19"/>
              </w:rPr>
              <w:t>BlueRiver Foods Ltd</w:t>
            </w:r>
          </w:p>
        </w:tc>
        <w:tc>
          <w:tcPr>
            <w:tcW w:type="dxa" w:w="2340"/>
            <w:shd w:fill="F5F7FA"/>
            <w:tcMar>
              <w:top w:w="120" w:type="dxa"/>
              <w:bottom w:w="120" w:type="dxa"/>
              <w:left w:w="150" w:type="dxa"/>
              <w:right w:w="120" w:type="dxa"/>
            </w:tcMar>
            <w:tcBorders>
              <w:left w:val="single" w:sz="14" w:space="0" w:color="C9A24B"/>
              <w:right w:val="single" w:sz="14" w:space="0" w:color="FFFFFF"/>
            </w:tcBorders>
          </w:tcPr>
          <w:p>
            <w:pPr>
              <w:spacing w:after="30"/>
            </w:pPr>
            <w:r/>
            <w:r>
              <w:rPr>
                <w:rFonts w:ascii="Arial" w:hAnsi="Arial"/>
                <w:b w:val="0"/>
                <w:i w:val="0"/>
                <w:color w:val="6B7280"/>
                <w:sz w:val="13"/>
              </w:rPr>
              <w:t>DATE</w:t>
            </w:r>
          </w:p>
          <w:p>
            <w:pPr>
              <w:spacing w:after="0"/>
            </w:pPr>
            <w:r>
              <w:rPr>
                <w:rFonts w:ascii="Arial" w:hAnsi="Arial"/>
                <w:b/>
                <w:i w:val="0"/>
                <w:color w:val="16243D"/>
                <w:sz w:val="19"/>
              </w:rPr>
              <w:t>June 2026</w:t>
            </w:r>
          </w:p>
        </w:tc>
        <w:tc>
          <w:tcPr>
            <w:tcW w:type="dxa" w:w="2340"/>
            <w:shd w:fill="F5F7FA"/>
            <w:tcMar>
              <w:top w:w="120" w:type="dxa"/>
              <w:bottom w:w="120" w:type="dxa"/>
              <w:left w:w="150" w:type="dxa"/>
              <w:right w:w="120" w:type="dxa"/>
            </w:tcMar>
            <w:tcBorders>
              <w:left w:val="single" w:sz="14" w:space="0" w:color="C9A24B"/>
              <w:right w:val="single" w:sz="14" w:space="0" w:color="FFFFFF"/>
            </w:tcBorders>
          </w:tcPr>
          <w:p>
            <w:pPr>
              <w:spacing w:after="30"/>
            </w:pPr>
            <w:r/>
            <w:r>
              <w:rPr>
                <w:rFonts w:ascii="Arial" w:hAnsi="Arial"/>
                <w:b w:val="0"/>
                <w:i w:val="0"/>
                <w:color w:val="6B7280"/>
                <w:sz w:val="13"/>
              </w:rPr>
              <w:t>STATUS</w:t>
            </w:r>
          </w:p>
          <w:p>
            <w:pPr>
              <w:spacing w:after="0"/>
            </w:pPr>
            <w:r>
              <w:rPr>
                <w:rFonts w:ascii="Arial" w:hAnsi="Arial"/>
                <w:b/>
                <w:i w:val="0"/>
                <w:color w:val="16243D"/>
                <w:sz w:val="19"/>
              </w:rPr>
              <w:t>Draft for Review</w:t>
            </w:r>
          </w:p>
        </w:tc>
      </w:tr>
    </w:tbl>
    <w:p>
      <w:pPr>
        <w:spacing w:after="160"/>
      </w:pPr>
    </w:p>
    <w:tbl>
      <w:tblPr>
        <w:tblW w:type="dxa" w:w="9360"/>
        <w:tblLayout w:type="fixed"/>
        <w:tblLook w:firstColumn="1" w:firstRow="1" w:lastColumn="0" w:lastRow="0" w:noHBand="0" w:noVBand="1" w:val="04A0"/>
        <w:tblBorders>
          <w:top w:val="single" w:sz="8" w:space="0" w:color="2E5C8A"/>
          <w:left w:val="single" w:sz="8" w:space="0" w:color="2E5C8A"/>
          <w:bottom w:val="single" w:sz="8" w:space="0" w:color="2E5C8A"/>
          <w:right w:val="single" w:sz="8" w:space="0" w:color="2E5C8A"/>
          <w:insideH w:val="single" w:sz="4" w:space="0" w:color="D9DEE6"/>
          <w:insideV w:val="single" w:sz="4" w:space="0" w:color="D9DEE6"/>
        </w:tblBorders>
      </w:tblPr>
      <w:tblGrid>
        <w:gridCol w:w="1872"/>
        <w:gridCol w:w="1872"/>
        <w:gridCol w:w="1872"/>
        <w:gridCol w:w="1872"/>
        <w:gridCol w:w="1872"/>
      </w:tblGrid>
      <w:tr>
        <w:tc>
          <w:tcPr>
            <w:tcW w:type="dxa" w:w="1872"/>
            <w:shd w:fill="FFFFFF"/>
            <w:tcMar>
              <w:top w:w="140" w:type="dxa"/>
              <w:bottom w:w="140" w:type="dxa"/>
              <w:left w:w="80" w:type="dxa"/>
              <w:right w:w="80" w:type="dxa"/>
            </w:tcMar>
            <w:vAlign w:val="center"/>
          </w:tcPr>
          <w:p>
            <w:pPr>
              <w:spacing w:after="30"/>
              <w:jc w:val="center"/>
            </w:pPr>
            <w:r/>
            <w:r>
              <w:rPr>
                <w:rFonts w:ascii="Arial" w:hAnsi="Arial"/>
                <w:b/>
                <w:i w:val="0"/>
                <w:color w:val="2E5C8A"/>
                <w:sz w:val="34"/>
              </w:rPr>
              <w:t>8</w:t>
            </w:r>
          </w:p>
          <w:p>
            <w:pPr>
              <w:spacing w:after="0"/>
              <w:jc w:val="center"/>
            </w:pPr>
            <w:r>
              <w:rPr>
                <w:rFonts w:ascii="Arial" w:hAnsi="Arial"/>
                <w:b w:val="0"/>
                <w:i w:val="0"/>
                <w:color w:val="6B7280"/>
                <w:sz w:val="14"/>
              </w:rPr>
              <w:t>STATEMENT LINES</w:t>
            </w:r>
          </w:p>
        </w:tc>
        <w:tc>
          <w:tcPr>
            <w:tcW w:type="dxa" w:w="1872"/>
            <w:shd w:fill="FFFFFF"/>
            <w:tcMar>
              <w:top w:w="140" w:type="dxa"/>
              <w:bottom w:w="140" w:type="dxa"/>
              <w:left w:w="80" w:type="dxa"/>
              <w:right w:w="80" w:type="dxa"/>
            </w:tcMar>
            <w:vAlign w:val="center"/>
          </w:tcPr>
          <w:p>
            <w:pPr>
              <w:spacing w:after="30"/>
              <w:jc w:val="center"/>
            </w:pPr>
            <w:r/>
            <w:r>
              <w:rPr>
                <w:rFonts w:ascii="Arial" w:hAnsi="Arial"/>
                <w:b/>
                <w:i w:val="0"/>
                <w:color w:val="2E5C8A"/>
                <w:sz w:val="34"/>
              </w:rPr>
              <w:t>8 wks</w:t>
            </w:r>
          </w:p>
          <w:p>
            <w:pPr>
              <w:spacing w:after="0"/>
              <w:jc w:val="center"/>
            </w:pPr>
            <w:r>
              <w:rPr>
                <w:rFonts w:ascii="Arial" w:hAnsi="Arial"/>
                <w:b w:val="0"/>
                <w:i w:val="0"/>
                <w:color w:val="6B7280"/>
                <w:sz w:val="14"/>
              </w:rPr>
              <w:t>DELIVERY WINDOW</w:t>
            </w:r>
          </w:p>
        </w:tc>
        <w:tc>
          <w:tcPr>
            <w:tcW w:type="dxa" w:w="1872"/>
            <w:shd w:fill="FFFFFF"/>
            <w:tcMar>
              <w:top w:w="140" w:type="dxa"/>
              <w:bottom w:w="140" w:type="dxa"/>
              <w:left w:w="80" w:type="dxa"/>
              <w:right w:w="80" w:type="dxa"/>
            </w:tcMar>
            <w:vAlign w:val="center"/>
          </w:tcPr>
          <w:p>
            <w:pPr>
              <w:spacing w:after="30"/>
              <w:jc w:val="center"/>
            </w:pPr>
            <w:r/>
            <w:r>
              <w:rPr>
                <w:rFonts w:ascii="Arial" w:hAnsi="Arial"/>
                <w:b/>
                <w:i w:val="0"/>
                <w:color w:val="2E5C8A"/>
                <w:sz w:val="34"/>
              </w:rPr>
              <w:t>8</w:t>
            </w:r>
          </w:p>
          <w:p>
            <w:pPr>
              <w:spacing w:after="0"/>
              <w:jc w:val="center"/>
            </w:pPr>
            <w:r>
              <w:rPr>
                <w:rFonts w:ascii="Arial" w:hAnsi="Arial"/>
                <w:b w:val="0"/>
                <w:i w:val="0"/>
                <w:color w:val="6B7280"/>
                <w:sz w:val="14"/>
              </w:rPr>
              <w:t>FUNCTIONAL REQS</w:t>
            </w:r>
          </w:p>
        </w:tc>
        <w:tc>
          <w:tcPr>
            <w:tcW w:type="dxa" w:w="1872"/>
            <w:shd w:fill="FFFFFF"/>
            <w:tcMar>
              <w:top w:w="140" w:type="dxa"/>
              <w:bottom w:w="140" w:type="dxa"/>
              <w:left w:w="80" w:type="dxa"/>
              <w:right w:w="80" w:type="dxa"/>
            </w:tcMar>
            <w:vAlign w:val="center"/>
          </w:tcPr>
          <w:p>
            <w:pPr>
              <w:spacing w:after="30"/>
              <w:jc w:val="center"/>
            </w:pPr>
            <w:r/>
            <w:r>
              <w:rPr>
                <w:rFonts w:ascii="Arial" w:hAnsi="Arial"/>
                <w:b/>
                <w:i w:val="0"/>
                <w:color w:val="2E5C8A"/>
                <w:sz w:val="34"/>
              </w:rPr>
              <w:t>5</w:t>
            </w:r>
          </w:p>
          <w:p>
            <w:pPr>
              <w:spacing w:after="0"/>
              <w:jc w:val="center"/>
            </w:pPr>
            <w:r>
              <w:rPr>
                <w:rFonts w:ascii="Arial" w:hAnsi="Arial"/>
                <w:b w:val="0"/>
                <w:i w:val="0"/>
                <w:color w:val="6B7280"/>
                <w:sz w:val="14"/>
              </w:rPr>
              <w:t>KEY CONTROLS</w:t>
            </w:r>
          </w:p>
        </w:tc>
        <w:tc>
          <w:tcPr>
            <w:tcW w:type="dxa" w:w="1872"/>
            <w:shd w:fill="FFFFFF"/>
            <w:tcMar>
              <w:top w:w="140" w:type="dxa"/>
              <w:bottom w:w="140" w:type="dxa"/>
              <w:left w:w="80" w:type="dxa"/>
              <w:right w:w="80" w:type="dxa"/>
            </w:tcMar>
            <w:vAlign w:val="center"/>
          </w:tcPr>
          <w:p>
            <w:pPr>
              <w:spacing w:after="30"/>
              <w:jc w:val="center"/>
            </w:pPr>
            <w:r/>
            <w:r>
              <w:rPr>
                <w:rFonts w:ascii="Arial" w:hAnsi="Arial"/>
                <w:b/>
                <w:i w:val="0"/>
                <w:color w:val="2E5C8A"/>
                <w:sz w:val="34"/>
              </w:rPr>
              <w:t>6</w:t>
            </w:r>
          </w:p>
          <w:p>
            <w:pPr>
              <w:spacing w:after="0"/>
              <w:jc w:val="center"/>
            </w:pPr>
            <w:r>
              <w:rPr>
                <w:rFonts w:ascii="Arial" w:hAnsi="Arial"/>
                <w:b w:val="0"/>
                <w:i w:val="0"/>
                <w:color w:val="6B7280"/>
                <w:sz w:val="14"/>
              </w:rPr>
              <w:t>UAT CASES</w:t>
            </w:r>
          </w:p>
        </w:tc>
      </w:tr>
    </w:tbl>
    <w:p>
      <w:pPr>
        <w:spacing w:before="260" w:after="60"/>
      </w:pPr>
      <w:r>
        <w:rPr>
          <w:rFonts w:ascii="Arial" w:hAnsi="Arial"/>
          <w:b/>
          <w:i w:val="0"/>
          <w:color w:val="2E5C8A"/>
          <w:sz w:val="16"/>
        </w:rPr>
        <w:t>PURPOSE</w:t>
      </w:r>
    </w:p>
    <w:p>
      <w:pPr>
        <w:spacing w:after="0" w:line="276" w:lineRule="auto"/>
      </w:pPr>
      <w:r>
        <w:rPr>
          <w:rFonts w:ascii="Arial" w:hAnsi="Arial"/>
          <w:b w:val="0"/>
          <w:i/>
          <w:color w:val="3A4253"/>
          <w:sz w:val="22"/>
        </w:rPr>
        <w:t>Translate finance process pain points into implementation-ready ERP requirements — covering workflow, data, controls, reporting, audit trail, and UAT coverage.</w:t>
      </w:r>
    </w:p>
    <w:p>
      <w:pPr>
        <w:pageBreakBefore/>
        <w:spacing w:after="60"/>
      </w:pPr>
      <w:r>
        <w:rPr>
          <w:rFonts w:ascii="Arial" w:hAnsi="Arial"/>
          <w:b/>
          <w:i w:val="0"/>
          <w:color w:val="16243D"/>
          <w:sz w:val="36"/>
        </w:rPr>
        <w:t>Contents</w:t>
      </w:r>
    </w:p>
    <w:p>
      <w:pPr>
        <w:spacing w:after="260"/>
        <w:pBdr>
          <w:bottom w:val="single" w:sz="12" w:space="4" w:color="C9A24B"/>
        </w:pBdr>
      </w:pPr>
    </w:p>
    <w:tbl>
      <w:tblPr>
        <w:tblW w:type="dxa" w:w="9360"/>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20"/>
        <w:gridCol w:w="7880"/>
        <w:gridCol w:w="760"/>
      </w:tblGrid>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01</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Executive Summary</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3</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02</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Business Problem</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3</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03</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Process Scope</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3</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04</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Scope Boundaries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3</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05</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Stakeholders and Roles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4</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06</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Functional Requirements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4</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07</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Data Requirements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5</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08</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Controls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5</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09</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Reporting Requirements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5</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10</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Audit Trail Requirements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5</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11</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User Stories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6</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12</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UAT Test Cases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6</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13</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Acceptance Criteria</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7</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14</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Implementation Risks and Dependencies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7</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15</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Implementation Notes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7</w:t>
            </w:r>
          </w:p>
        </w:tc>
      </w:tr>
    </w:tbl>
    <w:p>
      <w:pPr>
        <w:pStyle w:val="Heading1"/>
        <w:keepNext/>
        <w:pageBreakBefore/>
        <w:spacing w:before="360" w:after="160"/>
        <w:pBdr>
          <w:bottom w:val="single" w:sz="10" w:space="4" w:color="2E5C8A"/>
        </w:pBdr>
      </w:pPr>
      <w:r>
        <w:rPr>
          <w:rFonts w:ascii="Arial" w:hAnsi="Arial"/>
          <w:b/>
          <w:i w:val="0"/>
          <w:color w:val="C9A24B"/>
          <w:sz w:val="28"/>
        </w:rPr>
        <w:t xml:space="preserve">01  </w:t>
      </w:r>
      <w:r>
        <w:rPr>
          <w:rFonts w:ascii="Arial" w:hAnsi="Arial"/>
          <w:b/>
          <w:i w:val="0"/>
          <w:color w:val="16243D"/>
          <w:sz w:val="28"/>
        </w:rPr>
        <w:t>Executive Summary</w:t>
      </w:r>
    </w:p>
    <w:p>
      <w:r>
        <w:t>BlueRiver Foods Ltd needs a structured Bank Reconciliation requirements pack to reduce rework, clarify control ownership, and make Microsoft Dynamics 365 Business Central implementation decisions testable. The pack translates unmatched bank statement lines, suspense account ageing, and manual owner/status tracking into requirements for workflow, data, controls, reporting, audit trail, and UAT. It is sized for 8 bank accounts with roughly 4,500 statement lines per month and frames the control design, reporting outputs, and acceptance criteria needed within a target delivery window of 8 weeks.</w:t>
      </w:r>
    </w:p>
    <w:p>
      <w:pPr>
        <w:pStyle w:val="Heading1"/>
        <w:keepNext/>
        <w:spacing w:before="360" w:after="160"/>
        <w:pBdr>
          <w:bottom w:val="single" w:sz="10" w:space="4" w:color="2E5C8A"/>
        </w:pBdr>
      </w:pPr>
      <w:r>
        <w:rPr>
          <w:rFonts w:ascii="Arial" w:hAnsi="Arial"/>
          <w:b/>
          <w:i w:val="0"/>
          <w:color w:val="C9A24B"/>
          <w:sz w:val="28"/>
        </w:rPr>
        <w:t xml:space="preserve">02  </w:t>
      </w:r>
      <w:r>
        <w:rPr>
          <w:rFonts w:ascii="Arial" w:hAnsi="Arial"/>
          <w:b/>
          <w:i w:val="0"/>
          <w:color w:val="16243D"/>
          <w:sz w:val="28"/>
        </w:rPr>
        <w:t>Business Problem</w:t>
      </w:r>
    </w:p>
    <w:p>
      <w:r>
        <w:t>The current Bank Reconciliation process relies on Bank portal exports, ERP cashbook, and month-end spreadsheet reconciliation. That creates avoidable risk around unmatched bank statement lines, suspense account ageing, and manual owner/status tracking and leaves finance without a consistent requirements baseline for process design, configuration, controls, reporting, and UAT. The implementation needs clearer ownership, defined data fields, control evidence, and acceptance criteria before ERP optimisation or automation can be delivered with confidence.</w:t>
      </w:r>
    </w:p>
    <w:p>
      <w:pPr>
        <w:pStyle w:val="Heading1"/>
        <w:keepNext/>
        <w:spacing w:before="360" w:after="160"/>
        <w:pBdr>
          <w:bottom w:val="single" w:sz="10" w:space="4" w:color="2E5C8A"/>
        </w:pBdr>
      </w:pPr>
      <w:r>
        <w:rPr>
          <w:rFonts w:ascii="Arial" w:hAnsi="Arial"/>
          <w:b/>
          <w:i w:val="0"/>
          <w:color w:val="C9A24B"/>
          <w:sz w:val="28"/>
        </w:rPr>
        <w:t xml:space="preserve">03  </w:t>
      </w:r>
      <w:r>
        <w:rPr>
          <w:rFonts w:ascii="Arial" w:hAnsi="Arial"/>
          <w:b/>
          <w:i w:val="0"/>
          <w:color w:val="16243D"/>
          <w:sz w:val="28"/>
        </w:rPr>
        <w:t>Process Scope</w:t>
      </w:r>
    </w:p>
    <w:p>
      <w:r>
        <w:t>The future-state scope covers Bank statement ingestion, matching status, exception ownership, suspense clearing, and reviewer sign-off; Daily visibility of unmatched receipts, payments, fees, and transfers; and Month-end reconciliation evidence suitable for finance and audit review. The design will support multi-site food distribution business users on Microsoft Dynamics 365 Business Central, with emphasis on month-end close evidence and internal control review.</w:t>
      </w:r>
    </w:p>
    <w:p>
      <w:pPr>
        <w:pStyle w:val="Heading1"/>
        <w:keepNext/>
        <w:spacing w:before="360" w:after="160"/>
        <w:pBdr>
          <w:bottom w:val="single" w:sz="10" w:space="4" w:color="2E5C8A"/>
        </w:pBdr>
      </w:pPr>
      <w:r>
        <w:rPr>
          <w:rFonts w:ascii="Arial" w:hAnsi="Arial"/>
          <w:b/>
          <w:i w:val="0"/>
          <w:color w:val="C9A24B"/>
          <w:sz w:val="28"/>
        </w:rPr>
        <w:t xml:space="preserve">04  </w:t>
      </w:r>
      <w:r>
        <w:rPr>
          <w:rFonts w:ascii="Arial" w:hAnsi="Arial"/>
          <w:b/>
          <w:i w:val="0"/>
          <w:color w:val="16243D"/>
          <w:sz w:val="28"/>
        </w:rPr>
        <w:t>Scope Boundaries</w:t>
      </w:r>
    </w:p>
    <w:p>
      <w:r>
        <w:t>The boundaries below set expectations for this phase. Items out of scope can be re-planned as separate, approved phases.</w:t>
      </w:r>
    </w:p>
    <w:tbl>
      <w:tblPr>
        <w:tblW w:type="dxa" w:w="9360"/>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680"/>
        <w:gridCol w:w="4680"/>
      </w:tblGrid>
      <w:tr>
        <w:tc>
          <w:tcPr>
            <w:tcW w:type="dxa" w:w="4680"/>
            <w:shd w:fill="E7F1EC"/>
            <w:tcMar>
              <w:top w:w="120" w:type="dxa"/>
              <w:bottom w:w="130" w:type="dxa"/>
              <w:left w:w="160" w:type="dxa"/>
              <w:right w:w="160" w:type="dxa"/>
            </w:tcMar>
            <w:tcBorders>
              <w:top w:val="single" w:sz="8" w:space="0" w:color="1F7A4D"/>
              <w:bottom w:val="single" w:sz="4" w:space="0" w:color="D9DEE6"/>
              <w:left w:val="single" w:sz="4" w:space="0" w:color="D9DEE6"/>
              <w:right w:val="single" w:sz="4" w:space="0" w:color="D9DEE6"/>
            </w:tcBorders>
            <w:vAlign w:val="top"/>
          </w:tcPr>
          <w:p>
            <w:pPr>
              <w:shd w:fill="1F7A4D"/>
              <w:spacing w:after="100"/>
            </w:pPr>
            <w:r/>
            <w:r>
              <w:rPr>
                <w:rFonts w:ascii="Arial" w:hAnsi="Arial"/>
                <w:b/>
                <w:i w:val="0"/>
                <w:color w:val="FFFFFF"/>
                <w:sz w:val="18"/>
              </w:rPr>
              <w:t>IN SCOPE</w:t>
            </w:r>
          </w:p>
          <w:p>
            <w:pPr>
              <w:spacing w:after="70"/>
            </w:pPr>
            <w:r>
              <w:rPr>
                <w:rFonts w:ascii="Arial" w:hAnsi="Arial"/>
                <w:b w:val="0"/>
                <w:i w:val="0"/>
                <w:color w:val="1F2430"/>
                <w:sz w:val="19"/>
              </w:rPr>
              <w:t>• Bank Reconciliation requirements for the agreed multi-site food distribution business process.</w:t>
            </w:r>
          </w:p>
          <w:p>
            <w:pPr>
              <w:spacing w:after="70"/>
            </w:pPr>
            <w:r>
              <w:rPr>
                <w:rFonts w:ascii="Arial" w:hAnsi="Arial"/>
                <w:b w:val="0"/>
                <w:i w:val="0"/>
                <w:color w:val="1F2430"/>
                <w:sz w:val="19"/>
              </w:rPr>
              <w:t>• Workflow, data, controls, reporting, audit trail, and UAT requirements for Microsoft Dynamics 365 Business Central.</w:t>
            </w:r>
          </w:p>
          <w:p>
            <w:pPr>
              <w:spacing w:after="70"/>
            </w:pPr>
            <w:r>
              <w:rPr>
                <w:rFonts w:ascii="Arial" w:hAnsi="Arial"/>
                <w:b w:val="0"/>
                <w:i w:val="0"/>
                <w:color w:val="1F2430"/>
                <w:sz w:val="19"/>
              </w:rPr>
              <w:t>• Process pain points covering unmatched bank statement lines, suspense account ageing, and manual owner/status tracking.</w:t>
            </w:r>
          </w:p>
          <w:p>
            <w:pPr>
              <w:spacing w:after="70"/>
            </w:pPr>
            <w:r>
              <w:rPr>
                <w:rFonts w:ascii="Arial" w:hAnsi="Arial"/>
                <w:b w:val="0"/>
                <w:i w:val="0"/>
                <w:color w:val="1F2430"/>
                <w:sz w:val="19"/>
              </w:rPr>
              <w:t>• Reporting requirement: Daily unmatched item ageing and month-end reconciliation evidence pack.</w:t>
            </w:r>
          </w:p>
          <w:p>
            <w:pPr>
              <w:spacing w:after="70"/>
            </w:pPr>
            <w:r>
              <w:rPr>
                <w:rFonts w:ascii="Arial" w:hAnsi="Arial"/>
                <w:b w:val="0"/>
                <w:i w:val="0"/>
                <w:color w:val="1F2430"/>
                <w:sz w:val="19"/>
              </w:rPr>
              <w:t>• Implementation window and readiness assumptions for the 8 weeks target window.</w:t>
            </w:r>
          </w:p>
        </w:tc>
        <w:tc>
          <w:tcPr>
            <w:tcW w:type="dxa" w:w="4680"/>
            <w:shd w:fill="F6EBE8"/>
            <w:tcMar>
              <w:top w:w="120" w:type="dxa"/>
              <w:bottom w:w="130" w:type="dxa"/>
              <w:left w:w="160" w:type="dxa"/>
              <w:right w:w="160" w:type="dxa"/>
            </w:tcMar>
            <w:tcBorders>
              <w:top w:val="single" w:sz="8" w:space="0" w:color="9A3B2E"/>
              <w:bottom w:val="single" w:sz="4" w:space="0" w:color="D9DEE6"/>
              <w:left w:val="single" w:sz="4" w:space="0" w:color="D9DEE6"/>
              <w:right w:val="single" w:sz="4" w:space="0" w:color="D9DEE6"/>
            </w:tcBorders>
            <w:vAlign w:val="top"/>
          </w:tcPr>
          <w:p>
            <w:pPr>
              <w:shd w:fill="9A3B2E"/>
              <w:spacing w:after="100"/>
            </w:pPr>
            <w:r/>
            <w:r>
              <w:rPr>
                <w:rFonts w:ascii="Arial" w:hAnsi="Arial"/>
                <w:b/>
                <w:i w:val="0"/>
                <w:color w:val="FFFFFF"/>
                <w:sz w:val="18"/>
              </w:rPr>
              <w:t>OUT OF SCOPE</w:t>
            </w:r>
          </w:p>
          <w:p>
            <w:pPr>
              <w:spacing w:after="70"/>
            </w:pPr>
            <w:r>
              <w:rPr>
                <w:rFonts w:ascii="Arial" w:hAnsi="Arial"/>
                <w:b w:val="0"/>
                <w:i w:val="0"/>
                <w:color w:val="1F2430"/>
                <w:sz w:val="19"/>
              </w:rPr>
              <w:t>• Live system configuration, data migration execution, and production cutover.</w:t>
            </w:r>
          </w:p>
          <w:p>
            <w:pPr>
              <w:spacing w:after="70"/>
            </w:pPr>
            <w:r>
              <w:rPr>
                <w:rFonts w:ascii="Arial" w:hAnsi="Arial"/>
                <w:b w:val="0"/>
                <w:i w:val="0"/>
                <w:color w:val="1F2430"/>
                <w:sz w:val="19"/>
              </w:rPr>
              <w:t>• Custom integration build or external workflow automation.</w:t>
            </w:r>
          </w:p>
          <w:p>
            <w:pPr>
              <w:spacing w:after="70"/>
            </w:pPr>
            <w:r>
              <w:rPr>
                <w:rFonts w:ascii="Arial" w:hAnsi="Arial"/>
                <w:b w:val="0"/>
                <w:i w:val="0"/>
                <w:color w:val="1F2430"/>
                <w:sz w:val="19"/>
              </w:rPr>
              <w:t>• Legal, tax, HR, or statutory sign-off outside the finance process owner remit.</w:t>
            </w:r>
          </w:p>
          <w:p>
            <w:pPr>
              <w:spacing w:after="70"/>
            </w:pPr>
            <w:r>
              <w:rPr>
                <w:rFonts w:ascii="Arial" w:hAnsi="Arial"/>
                <w:b w:val="0"/>
                <w:i w:val="0"/>
                <w:color w:val="1F2430"/>
                <w:sz w:val="19"/>
              </w:rPr>
              <w:t>• Direct processing of operational production data.</w:t>
            </w:r>
          </w:p>
          <w:p>
            <w:pPr>
              <w:spacing w:after="70"/>
            </w:pPr>
            <w:r>
              <w:rPr>
                <w:rFonts w:ascii="Arial" w:hAnsi="Arial"/>
                <w:b w:val="0"/>
                <w:i w:val="0"/>
                <w:color w:val="1F2430"/>
                <w:sz w:val="19"/>
              </w:rPr>
              <w:t>• Process areas outside Bank Reconciliation unless approved as a separate phase.</w:t>
            </w:r>
          </w:p>
        </w:tc>
      </w:tr>
    </w:tbl>
    <w:p>
      <w:pPr>
        <w:pStyle w:val="Heading1"/>
        <w:keepNext/>
        <w:spacing w:before="360" w:after="160"/>
        <w:pBdr>
          <w:bottom w:val="single" w:sz="10" w:space="4" w:color="2E5C8A"/>
        </w:pBdr>
      </w:pPr>
      <w:r>
        <w:rPr>
          <w:rFonts w:ascii="Arial" w:hAnsi="Arial"/>
          <w:b/>
          <w:i w:val="0"/>
          <w:color w:val="C9A24B"/>
          <w:sz w:val="28"/>
        </w:rPr>
        <w:t xml:space="preserve">05  </w:t>
      </w:r>
      <w:r>
        <w:rPr>
          <w:rFonts w:ascii="Arial" w:hAnsi="Arial"/>
          <w:b/>
          <w:i w:val="0"/>
          <w:color w:val="16243D"/>
          <w:sz w:val="28"/>
        </w:rPr>
        <w:t>Stakeholders and Roles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3000"/>
        <w:gridCol w:w="6360"/>
      </w:tblGrid>
      <w:tr>
        <w:tc>
          <w:tcPr>
            <w:tcW w:type="dxa" w:w="3000"/>
            <w:shd w:fill="16243D"/>
            <w:tcMar>
              <w:top w:w="70" w:type="dxa"/>
              <w:bottom w:w="70" w:type="dxa"/>
              <w:left w:w="130" w:type="dxa"/>
              <w:right w:w="130" w:type="dxa"/>
            </w:tcMar>
          </w:tcPr>
          <w:p>
            <w:pPr>
              <w:spacing w:after="0"/>
            </w:pPr>
            <w:r/>
            <w:r>
              <w:rPr>
                <w:rFonts w:ascii="Arial" w:hAnsi="Arial"/>
                <w:b/>
                <w:i w:val="0"/>
                <w:color w:val="FFFFFF"/>
                <w:sz w:val="16"/>
              </w:rPr>
              <w:t>ROLE</w:t>
            </w:r>
          </w:p>
        </w:tc>
        <w:tc>
          <w:tcPr>
            <w:tcW w:type="dxa" w:w="6360"/>
            <w:shd w:fill="16243D"/>
            <w:tcMar>
              <w:top w:w="70" w:type="dxa"/>
              <w:bottom w:w="70" w:type="dxa"/>
              <w:left w:w="130" w:type="dxa"/>
              <w:right w:w="130" w:type="dxa"/>
            </w:tcMar>
          </w:tcPr>
          <w:p>
            <w:pPr>
              <w:spacing w:after="0"/>
            </w:pPr>
            <w:r/>
            <w:r>
              <w:rPr>
                <w:rFonts w:ascii="Arial" w:hAnsi="Arial"/>
                <w:b/>
                <w:i w:val="0"/>
                <w:color w:val="FFFFFF"/>
                <w:sz w:val="16"/>
              </w:rPr>
              <w:t>RESPONSIBILITY</w:t>
            </w:r>
          </w:p>
        </w:tc>
      </w:tr>
      <w:tr>
        <w:tc>
          <w:tcPr>
            <w:tcW w:type="dxa" w:w="30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Finance Transformation Lead</w:t>
            </w:r>
          </w:p>
        </w:tc>
        <w:tc>
          <w:tcPr>
            <w:tcW w:type="dxa" w:w="63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Accountable for business sign-off and prioritisation.</w:t>
            </w:r>
          </w:p>
        </w:tc>
      </w:tr>
      <w:tr>
        <w:tc>
          <w:tcPr>
            <w:tcW w:type="dxa" w:w="30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Bank Reconciliation process owner</w:t>
            </w:r>
          </w:p>
        </w:tc>
        <w:tc>
          <w:tcPr>
            <w:tcW w:type="dxa" w:w="63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Validates workflow scope, controls, and exceptions.</w:t>
            </w:r>
          </w:p>
        </w:tc>
      </w:tr>
      <w:tr>
        <w:tc>
          <w:tcPr>
            <w:tcW w:type="dxa" w:w="30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Finance systems analyst</w:t>
            </w:r>
          </w:p>
        </w:tc>
        <w:tc>
          <w:tcPr>
            <w:tcW w:type="dxa" w:w="63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Translates requirements into configuration and UAT coverage.</w:t>
            </w:r>
          </w:p>
        </w:tc>
      </w:tr>
      <w:tr>
        <w:tc>
          <w:tcPr>
            <w:tcW w:type="dxa" w:w="30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Preparer or operational user</w:t>
            </w:r>
          </w:p>
        </w:tc>
        <w:tc>
          <w:tcPr>
            <w:tcW w:type="dxa" w:w="63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Confirms day-to-day inputs, handoffs, and evidence needs.</w:t>
            </w:r>
          </w:p>
        </w:tc>
      </w:tr>
      <w:tr>
        <w:tc>
          <w:tcPr>
            <w:tcW w:type="dxa" w:w="30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Reviewer or controller</w:t>
            </w:r>
          </w:p>
        </w:tc>
        <w:tc>
          <w:tcPr>
            <w:tcW w:type="dxa" w:w="63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Approves control design, reporting outputs, and acceptance criteria.</w:t>
            </w:r>
          </w:p>
        </w:tc>
      </w:tr>
    </w:tbl>
    <w:p>
      <w:pPr>
        <w:pStyle w:val="Heading1"/>
        <w:keepNext/>
        <w:spacing w:before="360" w:after="160"/>
        <w:pBdr>
          <w:bottom w:val="single" w:sz="10" w:space="4" w:color="2E5C8A"/>
        </w:pBdr>
      </w:pPr>
      <w:r>
        <w:rPr>
          <w:rFonts w:ascii="Arial" w:hAnsi="Arial"/>
          <w:b/>
          <w:i w:val="0"/>
          <w:color w:val="C9A24B"/>
          <w:sz w:val="28"/>
        </w:rPr>
        <w:t xml:space="preserve">06  </w:t>
      </w:r>
      <w:r>
        <w:rPr>
          <w:rFonts w:ascii="Arial" w:hAnsi="Arial"/>
          <w:b/>
          <w:i w:val="0"/>
          <w:color w:val="16243D"/>
          <w:sz w:val="28"/>
        </w:rPr>
        <w:t>Functional Requirements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250"/>
        <w:gridCol w:w="8110"/>
      </w:tblGrid>
      <w:tr>
        <w:tc>
          <w:tcPr>
            <w:tcW w:type="dxa" w:w="1250"/>
            <w:shd w:fill="16243D"/>
            <w:tcMar>
              <w:top w:w="70" w:type="dxa"/>
              <w:bottom w:w="70" w:type="dxa"/>
              <w:left w:w="130" w:type="dxa"/>
              <w:right w:w="130" w:type="dxa"/>
            </w:tcMar>
          </w:tcPr>
          <w:p>
            <w:pPr>
              <w:spacing w:after="0"/>
            </w:pPr>
            <w:r/>
            <w:r>
              <w:rPr>
                <w:rFonts w:ascii="Arial" w:hAnsi="Arial"/>
                <w:b/>
                <w:i w:val="0"/>
                <w:color w:val="FFFFFF"/>
                <w:sz w:val="16"/>
              </w:rPr>
              <w:t>ID</w:t>
            </w:r>
          </w:p>
        </w:tc>
        <w:tc>
          <w:tcPr>
            <w:tcW w:type="dxa" w:w="8110"/>
            <w:shd w:fill="16243D"/>
            <w:tcMar>
              <w:top w:w="70" w:type="dxa"/>
              <w:bottom w:w="70" w:type="dxa"/>
              <w:left w:w="130" w:type="dxa"/>
              <w:right w:w="130" w:type="dxa"/>
            </w:tcMar>
          </w:tcPr>
          <w:p>
            <w:pPr>
              <w:spacing w:after="0"/>
            </w:pPr>
            <w:r/>
            <w:r>
              <w:rPr>
                <w:rFonts w:ascii="Arial" w:hAnsi="Arial"/>
                <w:b/>
                <w:i w:val="0"/>
                <w:color w:val="FFFFFF"/>
                <w:sz w:val="16"/>
              </w:rPr>
              <w:t>REQUIREMENT</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FR-01</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Import or capture bank statement date, value date, description, amount, currency, and bank account.</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FR-02</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Match bank lines to ledger transactions using reference, amount, date tolerance, and counterparty.</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FR-03</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Track unmatched lines with owner, status, reason code, ageing, and expected resolution date.</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FR-04</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Separate unreconciled receipts, unreconciled payments, bank fees, transfers, and unknown items.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FR-05</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Link suspense account entries to the originating bank line and clearing journal.</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FR-06</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Require reviewer sign-off once reconciliation differences are explained or cleared.</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FR-07</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Produce a month-end reconciliation pack with outstanding items and movement commentary.</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FR-08</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Escalate high-value or aged unmatched lines based on finance policy thresholds.</w:t>
            </w:r>
          </w:p>
        </w:tc>
      </w:tr>
    </w:tbl>
    <w:p>
      <w:pPr>
        <w:pStyle w:val="Heading1"/>
        <w:keepNext/>
        <w:spacing w:before="360" w:after="160"/>
        <w:pBdr>
          <w:bottom w:val="single" w:sz="10" w:space="4" w:color="2E5C8A"/>
        </w:pBdr>
      </w:pPr>
      <w:r>
        <w:rPr>
          <w:rFonts w:ascii="Arial" w:hAnsi="Arial"/>
          <w:b/>
          <w:i w:val="0"/>
          <w:color w:val="C9A24B"/>
          <w:sz w:val="28"/>
        </w:rPr>
        <w:t xml:space="preserve">07  </w:t>
      </w:r>
      <w:r>
        <w:rPr>
          <w:rFonts w:ascii="Arial" w:hAnsi="Arial"/>
          <w:b/>
          <w:i w:val="0"/>
          <w:color w:val="16243D"/>
          <w:sz w:val="28"/>
        </w:rPr>
        <w:t>Data Requirements</w:t>
      </w:r>
    </w:p>
    <w:p>
      <w:r>
        <w:t>Minimum data fields required for the controls and reporting outputs to operate reliably.</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120"/>
        <w:gridCol w:w="3560"/>
        <w:gridCol w:w="1120"/>
        <w:gridCol w:w="3560"/>
      </w:tblGrid>
      <w:tr>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DR-01</w:t>
            </w:r>
          </w:p>
        </w:tc>
        <w:tc>
          <w:tcPr>
            <w:tcW w:type="dxa" w:w="35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Bank account ID</w:t>
            </w:r>
          </w:p>
        </w:tc>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DR-02</w:t>
            </w:r>
          </w:p>
        </w:tc>
        <w:tc>
          <w:tcPr>
            <w:tcW w:type="dxa" w:w="35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Statement line ID</w:t>
            </w:r>
          </w:p>
        </w:tc>
      </w:tr>
      <w:tr>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DR-03</w:t>
            </w:r>
          </w:p>
        </w:tc>
        <w:tc>
          <w:tcPr>
            <w:tcW w:type="dxa" w:w="35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Ledger transaction ID</w:t>
            </w:r>
          </w:p>
        </w:tc>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DR-04</w:t>
            </w:r>
          </w:p>
        </w:tc>
        <w:tc>
          <w:tcPr>
            <w:tcW w:type="dxa" w:w="35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Match status</w:t>
            </w:r>
          </w:p>
        </w:tc>
      </w:tr>
      <w:tr>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DR-05</w:t>
            </w:r>
          </w:p>
        </w:tc>
        <w:tc>
          <w:tcPr>
            <w:tcW w:type="dxa" w:w="35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Exception owner</w:t>
            </w:r>
          </w:p>
        </w:tc>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DR-06</w:t>
            </w:r>
          </w:p>
        </w:tc>
        <w:tc>
          <w:tcPr>
            <w:tcW w:type="dxa" w:w="35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Ageing bucket</w:t>
            </w:r>
          </w:p>
        </w:tc>
      </w:tr>
      <w:tr>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DR-07</w:t>
            </w:r>
          </w:p>
        </w:tc>
        <w:tc>
          <w:tcPr>
            <w:tcW w:type="dxa" w:w="35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Suspense account reference</w:t>
            </w:r>
          </w:p>
        </w:tc>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DR-08</w:t>
            </w:r>
          </w:p>
        </w:tc>
        <w:tc>
          <w:tcPr>
            <w:tcW w:type="dxa" w:w="35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Reviewer sign-off timestamp</w:t>
            </w:r>
          </w:p>
        </w:tc>
      </w:tr>
    </w:tbl>
    <w:p>
      <w:pPr>
        <w:pStyle w:val="Heading1"/>
        <w:keepNext/>
        <w:spacing w:before="360" w:after="160"/>
        <w:pBdr>
          <w:bottom w:val="single" w:sz="10" w:space="4" w:color="2E5C8A"/>
        </w:pBdr>
      </w:pPr>
      <w:r>
        <w:rPr>
          <w:rFonts w:ascii="Arial" w:hAnsi="Arial"/>
          <w:b/>
          <w:i w:val="0"/>
          <w:color w:val="C9A24B"/>
          <w:sz w:val="28"/>
        </w:rPr>
        <w:t xml:space="preserve">08  </w:t>
      </w:r>
      <w:r>
        <w:rPr>
          <w:rFonts w:ascii="Arial" w:hAnsi="Arial"/>
          <w:b/>
          <w:i w:val="0"/>
          <w:color w:val="16243D"/>
          <w:sz w:val="28"/>
        </w:rPr>
        <w:t>Controls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250"/>
        <w:gridCol w:w="8110"/>
      </w:tblGrid>
      <w:tr>
        <w:tc>
          <w:tcPr>
            <w:tcW w:type="dxa" w:w="1250"/>
            <w:shd w:fill="16243D"/>
            <w:tcMar>
              <w:top w:w="70" w:type="dxa"/>
              <w:bottom w:w="70" w:type="dxa"/>
              <w:left w:w="130" w:type="dxa"/>
              <w:right w:w="130" w:type="dxa"/>
            </w:tcMar>
          </w:tcPr>
          <w:p>
            <w:pPr>
              <w:spacing w:after="0"/>
            </w:pPr>
            <w:r/>
            <w:r>
              <w:rPr>
                <w:rFonts w:ascii="Arial" w:hAnsi="Arial"/>
                <w:b/>
                <w:i w:val="0"/>
                <w:color w:val="FFFFFF"/>
                <w:sz w:val="16"/>
              </w:rPr>
              <w:t>ID</w:t>
            </w:r>
          </w:p>
        </w:tc>
        <w:tc>
          <w:tcPr>
            <w:tcW w:type="dxa" w:w="8110"/>
            <w:shd w:fill="16243D"/>
            <w:tcMar>
              <w:top w:w="70" w:type="dxa"/>
              <w:bottom w:w="70" w:type="dxa"/>
              <w:left w:w="130" w:type="dxa"/>
              <w:right w:w="130" w:type="dxa"/>
            </w:tcMar>
          </w:tcPr>
          <w:p>
            <w:pPr>
              <w:spacing w:after="0"/>
            </w:pPr>
            <w:r/>
            <w:r>
              <w:rPr>
                <w:rFonts w:ascii="Arial" w:hAnsi="Arial"/>
                <w:b/>
                <w:i w:val="0"/>
                <w:color w:val="FFFFFF"/>
                <w:sz w:val="16"/>
              </w:rPr>
              <w:t>CONTROL</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CTRL-01</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Reviewer sign-off required before a reconciliation period is marked complete.</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CTRL-02</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Aged unmatched lines escalate after the policy threshold.</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CTRL-03</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Suspense clearing entries require reason codes and supporting notes.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CTRL-04</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Manual match overrides require reviewer approval.</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CTRL-05</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Reconciliation status is locked after period close except through controlled reopen.</w:t>
            </w:r>
          </w:p>
        </w:tc>
      </w:tr>
    </w:tbl>
    <w:p>
      <w:pPr>
        <w:pStyle w:val="Heading1"/>
        <w:keepNext/>
        <w:spacing w:before="360" w:after="160"/>
        <w:pBdr>
          <w:bottom w:val="single" w:sz="10" w:space="4" w:color="2E5C8A"/>
        </w:pBdr>
      </w:pPr>
      <w:r>
        <w:rPr>
          <w:rFonts w:ascii="Arial" w:hAnsi="Arial"/>
          <w:b/>
          <w:i w:val="0"/>
          <w:color w:val="C9A24B"/>
          <w:sz w:val="28"/>
        </w:rPr>
        <w:t xml:space="preserve">09  </w:t>
      </w:r>
      <w:r>
        <w:rPr>
          <w:rFonts w:ascii="Arial" w:hAnsi="Arial"/>
          <w:b/>
          <w:i w:val="0"/>
          <w:color w:val="16243D"/>
          <w:sz w:val="28"/>
        </w:rPr>
        <w:t>Reporting Requirements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250"/>
        <w:gridCol w:w="8110"/>
      </w:tblGrid>
      <w:tr>
        <w:tc>
          <w:tcPr>
            <w:tcW w:type="dxa" w:w="1250"/>
            <w:shd w:fill="16243D"/>
            <w:tcMar>
              <w:top w:w="70" w:type="dxa"/>
              <w:bottom w:w="70" w:type="dxa"/>
              <w:left w:w="130" w:type="dxa"/>
              <w:right w:w="130" w:type="dxa"/>
            </w:tcMar>
          </w:tcPr>
          <w:p>
            <w:pPr>
              <w:spacing w:after="0"/>
            </w:pPr>
            <w:r/>
            <w:r>
              <w:rPr>
                <w:rFonts w:ascii="Arial" w:hAnsi="Arial"/>
                <w:b/>
                <w:i w:val="0"/>
                <w:color w:val="FFFFFF"/>
                <w:sz w:val="16"/>
              </w:rPr>
              <w:t>ID</w:t>
            </w:r>
          </w:p>
        </w:tc>
        <w:tc>
          <w:tcPr>
            <w:tcW w:type="dxa" w:w="8110"/>
            <w:shd w:fill="16243D"/>
            <w:tcMar>
              <w:top w:w="70" w:type="dxa"/>
              <w:bottom w:w="70" w:type="dxa"/>
              <w:left w:w="130" w:type="dxa"/>
              <w:right w:w="130" w:type="dxa"/>
            </w:tcMar>
          </w:tcPr>
          <w:p>
            <w:pPr>
              <w:spacing w:after="0"/>
            </w:pPr>
            <w:r/>
            <w:r>
              <w:rPr>
                <w:rFonts w:ascii="Arial" w:hAnsi="Arial"/>
                <w:b/>
                <w:i w:val="0"/>
                <w:color w:val="FFFFFF"/>
                <w:sz w:val="16"/>
              </w:rPr>
              <w:t>REQUIREMENT</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RPT-01</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Provide Daily unmatched item ageing and month-end reconciliation evidence pack.</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RPT-02</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Show owner, status, ageing, exception reason, and next action where relevant to Bank Reconciliation.</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RPT-03</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Support finance manager review with exportable period-end evidence.</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RPT-04</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Separate open exceptions from completed, approved, or signed-off items.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RPT-05</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Make reporting outputs readable by finance users without system administrator access.</w:t>
            </w:r>
          </w:p>
        </w:tc>
      </w:tr>
    </w:tbl>
    <w:p>
      <w:pPr>
        <w:pStyle w:val="Heading1"/>
        <w:keepNext/>
        <w:spacing w:before="360" w:after="160"/>
        <w:pBdr>
          <w:bottom w:val="single" w:sz="10" w:space="4" w:color="2E5C8A"/>
        </w:pBdr>
      </w:pPr>
      <w:r>
        <w:rPr>
          <w:rFonts w:ascii="Arial" w:hAnsi="Arial"/>
          <w:b/>
          <w:i w:val="0"/>
          <w:color w:val="C9A24B"/>
          <w:sz w:val="28"/>
        </w:rPr>
        <w:t xml:space="preserve">10  </w:t>
      </w:r>
      <w:r>
        <w:rPr>
          <w:rFonts w:ascii="Arial" w:hAnsi="Arial"/>
          <w:b/>
          <w:i w:val="0"/>
          <w:color w:val="16243D"/>
          <w:sz w:val="28"/>
        </w:rPr>
        <w:t>Audit Trail Requirements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250"/>
        <w:gridCol w:w="8110"/>
      </w:tblGrid>
      <w:tr>
        <w:tc>
          <w:tcPr>
            <w:tcW w:type="dxa" w:w="1250"/>
            <w:shd w:fill="16243D"/>
            <w:tcMar>
              <w:top w:w="70" w:type="dxa"/>
              <w:bottom w:w="70" w:type="dxa"/>
              <w:left w:w="130" w:type="dxa"/>
              <w:right w:w="130" w:type="dxa"/>
            </w:tcMar>
          </w:tcPr>
          <w:p>
            <w:pPr>
              <w:spacing w:after="0"/>
            </w:pPr>
            <w:r/>
            <w:r>
              <w:rPr>
                <w:rFonts w:ascii="Arial" w:hAnsi="Arial"/>
                <w:b/>
                <w:i w:val="0"/>
                <w:color w:val="FFFFFF"/>
                <w:sz w:val="16"/>
              </w:rPr>
              <w:t>ID</w:t>
            </w:r>
          </w:p>
        </w:tc>
        <w:tc>
          <w:tcPr>
            <w:tcW w:type="dxa" w:w="8110"/>
            <w:shd w:fill="16243D"/>
            <w:tcMar>
              <w:top w:w="70" w:type="dxa"/>
              <w:bottom w:w="70" w:type="dxa"/>
              <w:left w:w="130" w:type="dxa"/>
              <w:right w:w="130" w:type="dxa"/>
            </w:tcMar>
          </w:tcPr>
          <w:p>
            <w:pPr>
              <w:spacing w:after="0"/>
            </w:pPr>
            <w:r/>
            <w:r>
              <w:rPr>
                <w:rFonts w:ascii="Arial" w:hAnsi="Arial"/>
                <w:b/>
                <w:i w:val="0"/>
                <w:color w:val="FFFFFF"/>
                <w:sz w:val="16"/>
              </w:rPr>
              <w:t>REQUIREMENT</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AUD-01</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Store all matching, unmatching, manual override, and suspense clearing actions.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AUD-02</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Record preparer completion and reviewer sign-off timestamps.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AUD-03</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Keep owner/status history for aged unmatched lines.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AUD-04</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Preserve supporting notes and evidence links for unresolved differences.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AUD-05</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Record period reopen requests with reason, requester, approver, and date.</w:t>
            </w:r>
          </w:p>
        </w:tc>
      </w:tr>
    </w:tbl>
    <w:p>
      <w:pPr>
        <w:pStyle w:val="Heading1"/>
        <w:keepNext/>
        <w:spacing w:before="360" w:after="160"/>
        <w:pBdr>
          <w:bottom w:val="single" w:sz="10" w:space="4" w:color="2E5C8A"/>
        </w:pBdr>
      </w:pPr>
      <w:r>
        <w:rPr>
          <w:rFonts w:ascii="Arial" w:hAnsi="Arial"/>
          <w:b/>
          <w:i w:val="0"/>
          <w:color w:val="C9A24B"/>
          <w:sz w:val="28"/>
        </w:rPr>
        <w:t xml:space="preserve">11  </w:t>
      </w:r>
      <w:r>
        <w:rPr>
          <w:rFonts w:ascii="Arial" w:hAnsi="Arial"/>
          <w:b/>
          <w:i w:val="0"/>
          <w:color w:val="16243D"/>
          <w:sz w:val="28"/>
        </w:rPr>
        <w:t>User Stories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2500"/>
        <w:gridCol w:w="6860"/>
      </w:tblGrid>
      <w:tr>
        <w:tc>
          <w:tcPr>
            <w:tcW w:type="dxa" w:w="2500"/>
            <w:shd w:fill="16243D"/>
            <w:tcMar>
              <w:top w:w="70" w:type="dxa"/>
              <w:bottom w:w="70" w:type="dxa"/>
              <w:left w:w="130" w:type="dxa"/>
              <w:right w:w="130" w:type="dxa"/>
            </w:tcMar>
          </w:tcPr>
          <w:p>
            <w:pPr>
              <w:spacing w:after="0"/>
            </w:pPr>
            <w:r/>
            <w:r>
              <w:rPr>
                <w:rFonts w:ascii="Arial" w:hAnsi="Arial"/>
                <w:b/>
                <w:i w:val="0"/>
                <w:color w:val="FFFFFF"/>
                <w:sz w:val="16"/>
              </w:rPr>
              <w:t>ROLE</w:t>
            </w:r>
          </w:p>
        </w:tc>
        <w:tc>
          <w:tcPr>
            <w:tcW w:type="dxa" w:w="6860"/>
            <w:shd w:fill="16243D"/>
            <w:tcMar>
              <w:top w:w="70" w:type="dxa"/>
              <w:bottom w:w="70" w:type="dxa"/>
              <w:left w:w="130" w:type="dxa"/>
              <w:right w:w="130" w:type="dxa"/>
            </w:tcMar>
          </w:tcPr>
          <w:p>
            <w:pPr>
              <w:spacing w:after="0"/>
            </w:pPr>
            <w:r/>
            <w:r>
              <w:rPr>
                <w:rFonts w:ascii="Arial" w:hAnsi="Arial"/>
                <w:b/>
                <w:i w:val="0"/>
                <w:color w:val="FFFFFF"/>
                <w:sz w:val="16"/>
              </w:rPr>
              <w:t>USER STORY</w:t>
            </w:r>
          </w:p>
        </w:tc>
      </w:tr>
      <w:tr>
        <w:tc>
          <w:tcPr>
            <w:tcW w:type="dxa" w:w="2500"/>
            <w:shd w:fill="FFFFFF"/>
            <w:tcMar>
              <w:top w:w="80" w:type="dxa"/>
              <w:bottom w:w="80" w:type="dxa"/>
              <w:left w:w="140" w:type="dxa"/>
              <w:right w:w="140" w:type="dxa"/>
            </w:tcMar>
            <w:vAlign w:val="center"/>
          </w:tcPr>
          <w:p>
            <w:pPr>
              <w:spacing w:after="0" w:line="264" w:lineRule="auto"/>
            </w:pPr>
            <w:r/>
            <w:r>
              <w:rPr>
                <w:rFonts w:ascii="Arial" w:hAnsi="Arial"/>
                <w:b/>
                <w:i w:val="0"/>
                <w:color w:val="1F2430"/>
                <w:sz w:val="20"/>
              </w:rPr>
              <w:t>Reconciliation Preparer</w:t>
            </w:r>
          </w:p>
        </w:tc>
        <w:tc>
          <w:tcPr>
            <w:tcW w:type="dxa" w:w="68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Unmatched lines grouped by ageing so old differences are prioritised.</w:t>
            </w:r>
          </w:p>
        </w:tc>
      </w:tr>
      <w:tr>
        <w:tc>
          <w:tcPr>
            <w:tcW w:type="dxa" w:w="2500"/>
            <w:shd w:fill="FFFFFF"/>
            <w:tcMar>
              <w:top w:w="80" w:type="dxa"/>
              <w:bottom w:w="80" w:type="dxa"/>
              <w:left w:w="140" w:type="dxa"/>
              <w:right w:w="140" w:type="dxa"/>
            </w:tcMar>
            <w:vAlign w:val="center"/>
          </w:tcPr>
          <w:p>
            <w:pPr>
              <w:spacing w:after="0" w:line="264" w:lineRule="auto"/>
            </w:pPr>
            <w:r/>
            <w:r>
              <w:rPr>
                <w:rFonts w:ascii="Arial" w:hAnsi="Arial"/>
                <w:b/>
                <w:i w:val="0"/>
                <w:color w:val="1F2430"/>
                <w:sz w:val="20"/>
              </w:rPr>
              <w:t>Finance Manager</w:t>
            </w:r>
          </w:p>
        </w:tc>
        <w:tc>
          <w:tcPr>
            <w:tcW w:type="dxa" w:w="68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Suspense clearing status so unresolved items do not hide at month end.</w:t>
            </w:r>
          </w:p>
        </w:tc>
      </w:tr>
      <w:tr>
        <w:tc>
          <w:tcPr>
            <w:tcW w:type="dxa" w:w="2500"/>
            <w:shd w:fill="FFFFFF"/>
            <w:tcMar>
              <w:top w:w="80" w:type="dxa"/>
              <w:bottom w:w="80" w:type="dxa"/>
              <w:left w:w="140" w:type="dxa"/>
              <w:right w:w="140" w:type="dxa"/>
            </w:tcMar>
            <w:vAlign w:val="center"/>
          </w:tcPr>
          <w:p>
            <w:pPr>
              <w:spacing w:after="0" w:line="264" w:lineRule="auto"/>
            </w:pPr>
            <w:r/>
            <w:r>
              <w:rPr>
                <w:rFonts w:ascii="Arial" w:hAnsi="Arial"/>
                <w:b/>
                <w:i w:val="0"/>
                <w:color w:val="1F2430"/>
                <w:sz w:val="20"/>
              </w:rPr>
              <w:t>Reviewer</w:t>
            </w:r>
          </w:p>
        </w:tc>
        <w:tc>
          <w:tcPr>
            <w:tcW w:type="dxa" w:w="68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Clear sign-off evidence so reconciliation completion is defensible.</w:t>
            </w:r>
          </w:p>
        </w:tc>
      </w:tr>
      <w:tr>
        <w:tc>
          <w:tcPr>
            <w:tcW w:type="dxa" w:w="2500"/>
            <w:shd w:fill="FFFFFF"/>
            <w:tcMar>
              <w:top w:w="80" w:type="dxa"/>
              <w:bottom w:w="80" w:type="dxa"/>
              <w:left w:w="140" w:type="dxa"/>
              <w:right w:w="140" w:type="dxa"/>
            </w:tcMar>
            <w:vAlign w:val="center"/>
          </w:tcPr>
          <w:p>
            <w:pPr>
              <w:spacing w:after="0" w:line="264" w:lineRule="auto"/>
            </w:pPr>
            <w:r/>
            <w:r>
              <w:rPr>
                <w:rFonts w:ascii="Arial" w:hAnsi="Arial"/>
                <w:b/>
                <w:i w:val="0"/>
                <w:color w:val="1F2430"/>
                <w:sz w:val="20"/>
              </w:rPr>
              <w:t>Auditor</w:t>
            </w:r>
          </w:p>
        </w:tc>
        <w:tc>
          <w:tcPr>
            <w:tcW w:type="dxa" w:w="68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Manual match override history so judgemental matches can be reviewed.</w:t>
            </w:r>
          </w:p>
        </w:tc>
      </w:tr>
      <w:tr>
        <w:tc>
          <w:tcPr>
            <w:tcW w:type="dxa" w:w="2500"/>
            <w:shd w:fill="FFFFFF"/>
            <w:tcMar>
              <w:top w:w="80" w:type="dxa"/>
              <w:bottom w:w="80" w:type="dxa"/>
              <w:left w:w="140" w:type="dxa"/>
              <w:right w:w="140" w:type="dxa"/>
            </w:tcMar>
            <w:vAlign w:val="center"/>
          </w:tcPr>
          <w:p>
            <w:pPr>
              <w:spacing w:after="0" w:line="264" w:lineRule="auto"/>
            </w:pPr>
            <w:r/>
            <w:r>
              <w:rPr>
                <w:rFonts w:ascii="Arial" w:hAnsi="Arial"/>
                <w:b/>
                <w:i w:val="0"/>
                <w:color w:val="1F2430"/>
                <w:sz w:val="20"/>
              </w:rPr>
              <w:t>Treasury Analyst</w:t>
            </w:r>
          </w:p>
        </w:tc>
        <w:tc>
          <w:tcPr>
            <w:tcW w:type="dxa" w:w="68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Bank fees and transfers separated so routine items are cleared quickly.</w:t>
            </w:r>
          </w:p>
        </w:tc>
      </w:tr>
    </w:tbl>
    <w:p>
      <w:pPr>
        <w:pStyle w:val="Heading1"/>
        <w:keepNext/>
        <w:spacing w:before="360" w:after="160"/>
        <w:pBdr>
          <w:bottom w:val="single" w:sz="10" w:space="4" w:color="2E5C8A"/>
        </w:pBdr>
      </w:pPr>
      <w:r>
        <w:rPr>
          <w:rFonts w:ascii="Arial" w:hAnsi="Arial"/>
          <w:b/>
          <w:i w:val="0"/>
          <w:color w:val="C9A24B"/>
          <w:sz w:val="28"/>
        </w:rPr>
        <w:t xml:space="preserve">12  </w:t>
      </w:r>
      <w:r>
        <w:rPr>
          <w:rFonts w:ascii="Arial" w:hAnsi="Arial"/>
          <w:b/>
          <w:i w:val="0"/>
          <w:color w:val="16243D"/>
          <w:sz w:val="28"/>
        </w:rPr>
        <w:t>UAT Test Cases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250"/>
        <w:gridCol w:w="4055"/>
        <w:gridCol w:w="4055"/>
      </w:tblGrid>
      <w:tr>
        <w:tc>
          <w:tcPr>
            <w:tcW w:type="dxa" w:w="1250"/>
            <w:shd w:fill="16243D"/>
            <w:tcMar>
              <w:top w:w="70" w:type="dxa"/>
              <w:bottom w:w="70" w:type="dxa"/>
              <w:left w:w="130" w:type="dxa"/>
              <w:right w:w="130" w:type="dxa"/>
            </w:tcMar>
          </w:tcPr>
          <w:p>
            <w:pPr>
              <w:spacing w:after="0"/>
            </w:pPr>
            <w:r/>
            <w:r>
              <w:rPr>
                <w:rFonts w:ascii="Arial" w:hAnsi="Arial"/>
                <w:b/>
                <w:i w:val="0"/>
                <w:color w:val="FFFFFF"/>
                <w:sz w:val="16"/>
              </w:rPr>
              <w:t>ID</w:t>
            </w:r>
          </w:p>
        </w:tc>
        <w:tc>
          <w:tcPr>
            <w:tcW w:type="dxa" w:w="4055"/>
            <w:shd w:fill="16243D"/>
            <w:tcMar>
              <w:top w:w="70" w:type="dxa"/>
              <w:bottom w:w="70" w:type="dxa"/>
              <w:left w:w="130" w:type="dxa"/>
              <w:right w:w="130" w:type="dxa"/>
            </w:tcMar>
          </w:tcPr>
          <w:p>
            <w:pPr>
              <w:spacing w:after="0"/>
            </w:pPr>
            <w:r/>
            <w:r>
              <w:rPr>
                <w:rFonts w:ascii="Arial" w:hAnsi="Arial"/>
                <w:b/>
                <w:i w:val="0"/>
                <w:color w:val="FFFFFF"/>
                <w:sz w:val="16"/>
              </w:rPr>
              <w:t>TEST SCENARIO</w:t>
            </w:r>
          </w:p>
        </w:tc>
        <w:tc>
          <w:tcPr>
            <w:tcW w:type="dxa" w:w="4055"/>
            <w:shd w:fill="16243D"/>
            <w:tcMar>
              <w:top w:w="70" w:type="dxa"/>
              <w:bottom w:w="70" w:type="dxa"/>
              <w:left w:w="130" w:type="dxa"/>
              <w:right w:w="130" w:type="dxa"/>
            </w:tcMar>
          </w:tcPr>
          <w:p>
            <w:pPr>
              <w:spacing w:after="0"/>
            </w:pPr>
            <w:r/>
            <w:r>
              <w:rPr>
                <w:rFonts w:ascii="Arial" w:hAnsi="Arial"/>
                <w:b/>
                <w:i w:val="0"/>
                <w:color w:val="FFFFFF"/>
                <w:sz w:val="16"/>
              </w:rPr>
              <w:t>EXPECTED RESULT</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UAT-01</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 bank statement line has no ledger match after import.</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The line is marked unmatched with owner, ageing, and reason fields required.</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UAT-02</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A suspense item remains open past the policy threshold.</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The item is escalated and appears in the aged suspense view.</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UAT-03</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 preparer manually matches two transactions.</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The manual override is logged and requires reviewer approval.</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UAT-04</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Reviewer signs off a completed reconciliation.</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Reviewer name, timestamp, and outstanding item summary are saved.</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UAT-05</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 closed reconciliation period is reopened.</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Reopen reason and approver are recorded before edits are allowed.</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UAT-06</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Month-end pack is exported.</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The pack includes unmatched lines, ageing, suspense movements, and reviewer sign-off.</w:t>
            </w:r>
          </w:p>
        </w:tc>
      </w:tr>
    </w:tbl>
    <w:p>
      <w:pPr>
        <w:pStyle w:val="Heading1"/>
        <w:keepNext/>
        <w:spacing w:before="360" w:after="160"/>
        <w:pBdr>
          <w:bottom w:val="single" w:sz="10" w:space="4" w:color="2E5C8A"/>
        </w:pBdr>
      </w:pPr>
      <w:r>
        <w:rPr>
          <w:rFonts w:ascii="Arial" w:hAnsi="Arial"/>
          <w:b/>
          <w:i w:val="0"/>
          <w:color w:val="C9A24B"/>
          <w:sz w:val="28"/>
        </w:rPr>
        <w:t xml:space="preserve">13  </w:t>
      </w:r>
      <w:r>
        <w:rPr>
          <w:rFonts w:ascii="Arial" w:hAnsi="Arial"/>
          <w:b/>
          <w:i w:val="0"/>
          <w:color w:val="16243D"/>
          <w:sz w:val="28"/>
        </w:rPr>
        <w:t>Acceptance Criteria</w:t>
      </w:r>
    </w:p>
    <w:p>
      <w:r>
        <w:t>The implementation is accepted when the following are demonstrable in test evidence:</w:t>
      </w:r>
    </w:p>
    <w:p>
      <w:pPr>
        <w:pStyle w:val="ListParagraph"/>
        <w:ind w:left="403" w:hanging="259"/>
      </w:pPr>
      <w:r>
        <w:rPr>
          <w:rFonts w:ascii="Arial" w:hAnsi="Arial"/>
          <w:b/>
          <w:i w:val="0"/>
          <w:color w:val="1F2430"/>
          <w:sz w:val="19"/>
        </w:rPr>
        <w:t>1. Unmatched lines show owner, status, ageing, reason, and expected resolution date.</w:t>
      </w:r>
    </w:p>
    <w:p>
      <w:pPr>
        <w:pStyle w:val="ListParagraph"/>
        <w:ind w:left="403" w:hanging="259"/>
      </w:pPr>
      <w:r>
        <w:rPr>
          <w:rFonts w:ascii="Arial" w:hAnsi="Arial"/>
          <w:b/>
          <w:i w:val="0"/>
          <w:color w:val="1F2430"/>
          <w:sz w:val="19"/>
        </w:rPr>
        <w:t>2. Suspense account items can be traced from bank line to clearing journal.</w:t>
      </w:r>
    </w:p>
    <w:p>
      <w:pPr>
        <w:pStyle w:val="ListParagraph"/>
        <w:ind w:left="403" w:hanging="259"/>
      </w:pPr>
      <w:r>
        <w:rPr>
          <w:rFonts w:ascii="Arial" w:hAnsi="Arial"/>
          <w:b/>
          <w:i w:val="0"/>
          <w:color w:val="1F2430"/>
          <w:sz w:val="19"/>
        </w:rPr>
        <w:t>3. Reviewer sign-off is mandatory before period completion.</w:t>
      </w:r>
    </w:p>
    <w:p>
      <w:pPr>
        <w:pStyle w:val="ListParagraph"/>
        <w:ind w:left="403" w:hanging="259"/>
      </w:pPr>
      <w:r>
        <w:rPr>
          <w:rFonts w:ascii="Arial" w:hAnsi="Arial"/>
          <w:b/>
          <w:i w:val="0"/>
          <w:color w:val="1F2430"/>
          <w:sz w:val="19"/>
        </w:rPr>
        <w:t>4. Manual overrides are visible in the audit trail.</w:t>
      </w:r>
    </w:p>
    <w:p>
      <w:pPr>
        <w:pStyle w:val="ListParagraph"/>
        <w:ind w:left="403" w:hanging="259"/>
      </w:pPr>
      <w:r>
        <w:rPr>
          <w:rFonts w:ascii="Arial" w:hAnsi="Arial"/>
          <w:b/>
          <w:i w:val="0"/>
          <w:color w:val="1F2430"/>
          <w:sz w:val="19"/>
        </w:rPr>
        <w:t>5. Month-end reconciliation pack exports without manual formatting.</w:t>
      </w:r>
    </w:p>
    <w:p>
      <w:pPr>
        <w:pStyle w:val="Heading1"/>
        <w:keepNext/>
        <w:spacing w:before="360" w:after="160"/>
        <w:pBdr>
          <w:bottom w:val="single" w:sz="10" w:space="4" w:color="2E5C8A"/>
        </w:pBdr>
      </w:pPr>
      <w:r>
        <w:rPr>
          <w:rFonts w:ascii="Arial" w:hAnsi="Arial"/>
          <w:b/>
          <w:i w:val="0"/>
          <w:color w:val="C9A24B"/>
          <w:sz w:val="28"/>
        </w:rPr>
        <w:t xml:space="preserve">14  </w:t>
      </w:r>
      <w:r>
        <w:rPr>
          <w:rFonts w:ascii="Arial" w:hAnsi="Arial"/>
          <w:b/>
          <w:i w:val="0"/>
          <w:color w:val="16243D"/>
          <w:sz w:val="28"/>
        </w:rPr>
        <w:t>Implementation Risks and Dependencies</w:t>
      </w:r>
    </w:p>
    <w:p>
      <w:pPr>
        <w:pStyle w:val="ListParagraph"/>
        <w:ind w:left="403" w:hanging="259"/>
      </w:pPr>
      <w:r>
        <w:rPr>
          <w:rFonts w:ascii="Arial" w:hAnsi="Arial"/>
          <w:b w:val="0"/>
          <w:i w:val="0"/>
          <w:color w:val="1F2430"/>
          <w:sz w:val="19"/>
        </w:rPr>
        <w:t>• Bank statement formats must be standardised across accounts.</w:t>
      </w:r>
    </w:p>
    <w:p>
      <w:pPr>
        <w:pStyle w:val="ListParagraph"/>
        <w:ind w:left="403" w:hanging="259"/>
      </w:pPr>
      <w:r>
        <w:rPr>
          <w:rFonts w:ascii="Arial" w:hAnsi="Arial"/>
          <w:b w:val="0"/>
          <w:i w:val="0"/>
          <w:color w:val="1F2430"/>
          <w:sz w:val="19"/>
        </w:rPr>
        <w:t>• Ledger reference quality may limit automated matching rates.</w:t>
      </w:r>
    </w:p>
    <w:p>
      <w:pPr>
        <w:pStyle w:val="ListParagraph"/>
        <w:ind w:left="403" w:hanging="259"/>
      </w:pPr>
      <w:r>
        <w:rPr>
          <w:rFonts w:ascii="Arial" w:hAnsi="Arial"/>
          <w:b w:val="0"/>
          <w:i w:val="0"/>
          <w:color w:val="1F2430"/>
          <w:sz w:val="19"/>
        </w:rPr>
        <w:t>• Finance policy thresholds for ageing and escalation must be approved.</w:t>
      </w:r>
    </w:p>
    <w:p>
      <w:pPr>
        <w:pStyle w:val="ListParagraph"/>
        <w:ind w:left="403" w:hanging="259"/>
      </w:pPr>
      <w:r>
        <w:rPr>
          <w:rFonts w:ascii="Arial" w:hAnsi="Arial"/>
          <w:b w:val="0"/>
          <w:i w:val="0"/>
          <w:color w:val="1F2430"/>
          <w:sz w:val="19"/>
        </w:rPr>
        <w:t>• Reviewer roles must be configured before go-live.</w:t>
      </w:r>
    </w:p>
    <w:p>
      <w:pPr>
        <w:pStyle w:val="ListParagraph"/>
        <w:ind w:left="403" w:hanging="259"/>
      </w:pPr>
      <w:r>
        <w:rPr>
          <w:rFonts w:ascii="Arial" w:hAnsi="Arial"/>
          <w:b w:val="0"/>
          <w:i w:val="0"/>
          <w:color w:val="1F2430"/>
          <w:sz w:val="19"/>
        </w:rPr>
        <w:t>• Historic suspense items may need cleanup before migration.</w:t>
      </w:r>
    </w:p>
    <w:p>
      <w:pPr>
        <w:pStyle w:val="Heading1"/>
        <w:keepNext/>
        <w:spacing w:before="360" w:after="160"/>
        <w:pBdr>
          <w:bottom w:val="single" w:sz="10" w:space="4" w:color="2E5C8A"/>
        </w:pBdr>
      </w:pPr>
      <w:r>
        <w:rPr>
          <w:rFonts w:ascii="Arial" w:hAnsi="Arial"/>
          <w:b/>
          <w:i w:val="0"/>
          <w:color w:val="C9A24B"/>
          <w:sz w:val="28"/>
        </w:rPr>
        <w:t xml:space="preserve">15  </w:t>
      </w:r>
      <w:r>
        <w:rPr>
          <w:rFonts w:ascii="Arial" w:hAnsi="Arial"/>
          <w:b/>
          <w:i w:val="0"/>
          <w:color w:val="16243D"/>
          <w:sz w:val="28"/>
        </w:rPr>
        <w:t>Implementation Notes</w:t>
      </w:r>
    </w:p>
    <w:p>
      <w:pPr>
        <w:pStyle w:val="ListParagraph"/>
        <w:ind w:left="403" w:hanging="259"/>
      </w:pPr>
      <w:r>
        <w:rPr>
          <w:rFonts w:ascii="Arial" w:hAnsi="Arial"/>
          <w:b w:val="0"/>
          <w:i w:val="0"/>
          <w:color w:val="1F2430"/>
          <w:sz w:val="19"/>
        </w:rPr>
        <w:t>• Confirm Bank Reconciliation process owner and reviewer roles before design sign-off.</w:t>
      </w:r>
    </w:p>
    <w:p>
      <w:pPr>
        <w:pStyle w:val="ListParagraph"/>
        <w:ind w:left="403" w:hanging="259"/>
      </w:pPr>
      <w:r>
        <w:rPr>
          <w:rFonts w:ascii="Arial" w:hAnsi="Arial"/>
          <w:b w:val="0"/>
          <w:i w:val="0"/>
          <w:color w:val="1F2430"/>
          <w:sz w:val="19"/>
        </w:rPr>
        <w:t>• Validate the required data fields against Microsoft Dynamics 365 Business Central configuration.</w:t>
      </w:r>
    </w:p>
    <w:p>
      <w:pPr>
        <w:pStyle w:val="ListParagraph"/>
        <w:ind w:left="403" w:hanging="259"/>
      </w:pPr>
      <w:r>
        <w:rPr>
          <w:rFonts w:ascii="Arial" w:hAnsi="Arial"/>
          <w:b w:val="0"/>
          <w:i w:val="0"/>
          <w:color w:val="1F2430"/>
          <w:sz w:val="19"/>
        </w:rPr>
        <w:t>• Run UAT with approved sample scenarios before production data migration or cutover.</w:t>
      </w:r>
    </w:p>
    <w:p>
      <w:pPr>
        <w:pStyle w:val="ListParagraph"/>
        <w:ind w:left="403" w:hanging="259"/>
      </w:pPr>
      <w:r>
        <w:rPr>
          <w:rFonts w:ascii="Arial" w:hAnsi="Arial"/>
          <w:b w:val="0"/>
          <w:i w:val="0"/>
          <w:color w:val="1F2430"/>
          <w:sz w:val="19"/>
        </w:rPr>
        <w:t>• Keep any future AI-assisted drafting behind structured templates and human approval.</w:t>
      </w:r>
    </w:p>
    <w:p>
      <w:pPr>
        <w:spacing w:after="220"/>
      </w:pPr>
    </w:p>
    <w:tbl>
      <w:tblPr>
        <w:tblW w:type="dxa" w:w="9360"/>
        <w:tblLayout w:type="fixed"/>
        <w:tblLook w:firstColumn="1" w:firstRow="1" w:lastColumn="0" w:lastRow="0" w:noHBand="0" w:noVBand="1" w:val="04A0"/>
        <w:tblBorders>
          <w:top w:val="single" w:sz="6" w:space="0" w:color="CFA63A"/>
          <w:left w:val="single" w:sz="18" w:space="0" w:color="CFA63A"/>
          <w:bottom w:val="single" w:sz="6" w:space="0" w:color="CFA63A"/>
          <w:right w:val="single" w:sz="6" w:space="0" w:color="CFA63A"/>
          <w:insideH w:val="single" w:sz="6" w:space="0" w:color="CFA63A"/>
          <w:insideV w:val="single" w:sz="6" w:space="0" w:color="CFA63A"/>
        </w:tblBorders>
      </w:tblPr>
      <w:tblGrid>
        <w:gridCol w:w="9360"/>
      </w:tblGrid>
      <w:tr>
        <w:tc>
          <w:tcPr>
            <w:tcW w:type="dxa" w:w="9360"/>
            <w:shd w:fill="FBF5E7"/>
            <w:tcMar>
              <w:top w:w="150" w:type="dxa"/>
              <w:bottom w:w="150" w:type="dxa"/>
              <w:left w:w="200" w:type="dxa"/>
              <w:right w:w="180" w:type="dxa"/>
            </w:tcMar>
          </w:tcPr>
          <w:p>
            <w:pPr>
              <w:spacing w:after="60"/>
            </w:pPr>
            <w:r/>
            <w:r>
              <w:rPr>
                <w:rFonts w:ascii="Arial" w:hAnsi="Arial"/>
                <w:b/>
                <w:i w:val="0"/>
                <w:color w:val="8A6D1F"/>
                <w:sz w:val="17"/>
              </w:rPr>
              <w:t>PUBLIC-SAFE SAMPLE DATA NOTE</w:t>
            </w:r>
          </w:p>
          <w:p>
            <w:pPr>
              <w:spacing w:after="0"/>
            </w:pPr>
            <w:r>
              <w:rPr>
                <w:rFonts w:ascii="Arial" w:hAnsi="Arial"/>
                <w:b w:val="0"/>
                <w:i w:val="0"/>
                <w:color w:val="3A4253"/>
                <w:sz w:val="19"/>
              </w:rPr>
              <w:t>This pack was generated from fictional, public-safe sample inputs. It does not contain real employer, client, supplier, bank, VAT, payroll, or operational data. Do not upload confidential business information into a public demo.</w:t>
            </w:r>
          </w:p>
        </w:tc>
      </w:tr>
    </w:tbl>
    <w:sectPr w:rsidR="00FC693F" w:rsidRPr="0006063C" w:rsidSect="00034616">
      <w:headerReference w:type="first" r:id="rId9"/>
      <w:footerReference w:type="first" r:id="rId10"/>
      <w:headerReference w:type="default" r:id="rId11"/>
      <w:footerReference w:type="default" r:id="rId12"/>
      <w:pgSz w:w="12240" w:h="15840"/>
      <w:pgMar w:top="1180" w:right="1440" w:bottom="1180" w:left="1440" w:header="317" w:footer="31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40"/>
      <w:pBdr>
        <w:top w:val="single" w:sz="6" w:space="4" w:color="D9DEE6"/>
      </w:pBdr>
    </w:pPr>
    <w:r>
      <w:rPr>
        <w:rFonts w:ascii="Arial" w:hAnsi="Arial"/>
        <w:b w:val="0"/>
        <w:i w:val="0"/>
        <w:color w:val="6B7280"/>
        <w:sz w:val="15"/>
      </w:rPr>
      <w:t>Chez Solutions  ·  Public-safe sample document</w:t>
    </w:r>
    <w:r>
      <w:rPr>
        <w:rFonts w:ascii="Arial" w:hAnsi="Arial"/>
        <w:b w:val="0"/>
        <w:i w:val="0"/>
        <w:color w:val="6B7280"/>
        <w:sz w:val="15"/>
      </w:rPr>
      <w:tab/>
      <w:t xml:space="preserve">Page </w:t>
    </w:r>
    <w:r>
      <w:rPr>
        <w:rFonts w:ascii="Arial" w:hAnsi="Arial"/>
        <w:color w:val="16243D"/>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60"/>
      <w:pBdr>
        <w:bottom w:val="single" w:sz="6" w:space="4" w:color="D9DEE6"/>
      </w:pBdr>
    </w:pPr>
    <w:r/>
    <w:r>
      <w:rPr>
        <w:rFonts w:ascii="Arial" w:hAnsi="Arial"/>
        <w:b/>
        <w:i w:val="0"/>
        <w:color w:val="16243D"/>
        <w:sz w:val="16"/>
      </w:rPr>
      <w:t>Bank Reconciliation Requirements Pack</w:t>
    </w:r>
    <w:r>
      <w:rPr>
        <w:rFonts w:ascii="Arial" w:hAnsi="Arial"/>
        <w:b w:val="0"/>
        <w:i w:val="0"/>
        <w:color w:val="6B7280"/>
        <w:sz w:val="16"/>
      </w:rPr>
      <w:tab/>
      <w:t>BlueRiver Foods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1F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6243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80"/>
      <w:ind w:left="720"/>
      <w:contextualSpacing/>
    </w:pPr>
    <w:rPr>
      <w:rFonts w:ascii="Arial" w:hAnsi="Arial"/>
      <w:sz w:val="19"/>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