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Month-end Close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Cedar Grove Retail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Cedar Grove Retail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125</w:t>
            </w:r>
          </w:p>
          <w:p>
            <w:pPr>
              <w:spacing w:after="0"/>
              <w:jc w:val="center"/>
            </w:pPr>
            <w:r>
              <w:rPr>
                <w:rFonts w:ascii="Arial" w:hAnsi="Arial"/>
                <w:b w:val="0"/>
                <w:i w:val="0"/>
                <w:color w:val="6B7280"/>
                <w:sz w:val="14"/>
              </w:rPr>
              <w:t>CLOSE TASKS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Cedar Grove Retail Ltd needs a structured Month-end Close requirements pack to reduce rework, clarify control ownership, and make Microsoft Dynamics 365 Finance implementation decisions testable. The pack translates late close tasks, manual close status tracking, and missing reconciliation evidence into requirements for workflow, data, controls, reporting, audit trail, and UAT. It is sized for 125 close tasks, 70 reconciliations, and 220 journals per period and frames the control design, reporting outputs, and acceptance criteria needed within a target delivery window of 12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Month-end Close process relies on Close checklist spreadsheet, ERP journals, and shared evidence folders. That creates avoidable risk around late close tasks, manual close status tracking, and missing reconciliation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Close task calendar, preparer/reviewer ownership, journal approval, reconciliation completion, and close reporting; Daily close status visibility with overdue task escalation and dependency tracking; and Evidence pack for finance leadership, internal controls, and audit review. The design will support multi-entity retail group users on Microsoft Dynamics 365 Finance, with emphasis on close evidence, journal approvals, reviewer sign-off, and period completion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Month-end Close requirements for the agreed multi-entity retail group process.</w:t>
            </w:r>
          </w:p>
          <w:p>
            <w:pPr>
              <w:spacing w:after="70"/>
            </w:pPr>
            <w:r>
              <w:rPr>
                <w:rFonts w:ascii="Arial" w:hAnsi="Arial"/>
                <w:b w:val="0"/>
                <w:i w:val="0"/>
                <w:color w:val="1F2430"/>
                <w:sz w:val="19"/>
              </w:rPr>
              <w:t>• Workflow, data, controls, reporting, audit trail, and UAT requirements for Microsoft Dynamics 365 Finance.</w:t>
            </w:r>
          </w:p>
          <w:p>
            <w:pPr>
              <w:spacing w:after="70"/>
            </w:pPr>
            <w:r>
              <w:rPr>
                <w:rFonts w:ascii="Arial" w:hAnsi="Arial"/>
                <w:b w:val="0"/>
                <w:i w:val="0"/>
                <w:color w:val="1F2430"/>
                <w:sz w:val="19"/>
              </w:rPr>
              <w:t>• Process pain points covering late close tasks, manual close status tracking, and missing reconciliation evidence.</w:t>
            </w:r>
          </w:p>
          <w:p>
            <w:pPr>
              <w:spacing w:after="70"/>
            </w:pPr>
            <w:r>
              <w:rPr>
                <w:rFonts w:ascii="Arial" w:hAnsi="Arial"/>
                <w:b w:val="0"/>
                <w:i w:val="0"/>
                <w:color w:val="1F2430"/>
                <w:sz w:val="19"/>
              </w:rPr>
              <w:t>• Reporting requirement: Close task status, overdue items, reconciliation risk, and journal approval dashboard.</w:t>
            </w:r>
          </w:p>
          <w:p>
            <w:pPr>
              <w:spacing w:after="70"/>
            </w:pPr>
            <w:r>
              <w:rPr>
                <w:rFonts w:ascii="Arial" w:hAnsi="Arial"/>
                <w:b w:val="0"/>
                <w:i w:val="0"/>
                <w:color w:val="1F2430"/>
                <w:sz w:val="19"/>
              </w:rPr>
              <w:t>• Implementation window and readiness assumptions for the 12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Month-end Close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Close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a close calendar with task owner, reviewer, due date, dependency, status, and completion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balance sheet reconciliations by account, preparer, reviewer, risk rating, and sign-off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manual journals for approval based on journal type, value, and account risk.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Escalate overdue tasks to close lead and finance controller based on policy thresholds.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close commentary for material movements, open items, and unresolved exceptions.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Lock completed tasks after reviewer sign-off unless reopened through controlled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close dashboard showing task completion, late items, high-risk reconciliations, and journal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Export a month-end close evidence pack with task, reconciliation, journal, and sign-off details.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Close period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Close task ID</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Task owner</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Balance sheet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batch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Completion evidence link</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Sign-off timestamp</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required before high-risk reconciliations are marked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journals require approval before posting to closed periods.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Overdue close tasks escalate based on close calendar thresholds.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Reopened tasks require reason, requester, approver, and timestamp.</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Period close completion requires all mandatory tasks and reconciliations to be signed off.</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Close task status, overdue items, reconciliation risk, and journal approval dashboard.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Month-end Close.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task status changes, evidence uploads, preparer completion, and reviewer sign-off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journal submission, approval, rejection, posting, and reversal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reopen reasons and approval decisions for closed tasks.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reconciliation owner/status history for each close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close pack export timestamp, preparer, reviewer, and final approver evidence.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Close Lead</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Overdue tasks escalated so blockers are visible before reporting deadlines.</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Preparer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One place to attach reconciliation evidence so reviewer sign-off is faster.</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High-risk accounts highlighted so review effort follows materiality.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Controller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approval status so unposted adjustments do not surprise the close.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Close task and journal approval history by period so evidence is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mandatory close task passes its due date without completion.</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task is escalated and appears in the overdue close view.</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high-risk reconciliation is submitted without evidence.</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is blocked until evidence is attached.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journal exceeds the approval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the correct approver signs 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completed close task is reopened.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 reason, requester, approver, and timestamp are recorded.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Period completion is attempted with open mandatory tasks.</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Completion is blocked and open tasks are listed.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close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task completion, reconciliations, journals, overdue items, and sign-off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Close calendar shows owner, reviewer, due date, dependency, status, and evidence for each task.</w:t>
      </w:r>
    </w:p>
    <w:p>
      <w:pPr>
        <w:pStyle w:val="ListParagraph"/>
        <w:ind w:left="403" w:hanging="259"/>
      </w:pPr>
      <w:r>
        <w:rPr>
          <w:rFonts w:ascii="Arial" w:hAnsi="Arial"/>
          <w:b/>
          <w:i w:val="0"/>
          <w:color w:val="1F2430"/>
          <w:sz w:val="19"/>
        </w:rPr>
        <w:t>2. High-risk reconciliations require reviewer sign-off before period completion.</w:t>
      </w:r>
    </w:p>
    <w:p>
      <w:pPr>
        <w:pStyle w:val="ListParagraph"/>
        <w:ind w:left="403" w:hanging="259"/>
      </w:pPr>
      <w:r>
        <w:rPr>
          <w:rFonts w:ascii="Arial" w:hAnsi="Arial"/>
          <w:b/>
          <w:i w:val="0"/>
          <w:color w:val="1F2430"/>
          <w:sz w:val="19"/>
        </w:rPr>
        <w:t>3. Journal approvals are visible and traceable by journal batch.</w:t>
      </w:r>
    </w:p>
    <w:p>
      <w:pPr>
        <w:pStyle w:val="ListParagraph"/>
        <w:ind w:left="403" w:hanging="259"/>
      </w:pPr>
      <w:r>
        <w:rPr>
          <w:rFonts w:ascii="Arial" w:hAnsi="Arial"/>
          <w:b/>
          <w:i w:val="0"/>
          <w:color w:val="1F2430"/>
          <w:sz w:val="19"/>
        </w:rPr>
        <w:t>4. Overdue tasks escalate without manual tracker updates.</w:t>
      </w:r>
    </w:p>
    <w:p>
      <w:pPr>
        <w:pStyle w:val="ListParagraph"/>
        <w:ind w:left="403" w:hanging="259"/>
      </w:pPr>
      <w:r>
        <w:rPr>
          <w:rFonts w:ascii="Arial" w:hAnsi="Arial"/>
          <w:b/>
          <w:i w:val="0"/>
          <w:color w:val="1F2430"/>
          <w:sz w:val="19"/>
        </w:rPr>
        <w:t>5. Close evidence pack exports with task, reconciliation, journal, and sign-off details.</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Close task ownership must be agreed across finance teams.</w:t>
      </w:r>
    </w:p>
    <w:p>
      <w:pPr>
        <w:pStyle w:val="ListParagraph"/>
        <w:ind w:left="403" w:hanging="259"/>
      </w:pPr>
      <w:r>
        <w:rPr>
          <w:rFonts w:ascii="Arial" w:hAnsi="Arial"/>
          <w:b w:val="0"/>
          <w:i w:val="0"/>
          <w:color w:val="1F2430"/>
          <w:sz w:val="19"/>
        </w:rPr>
        <w:t>• Balance sheet reconciliation risk ratings may need finance controller approval.</w:t>
      </w:r>
    </w:p>
    <w:p>
      <w:pPr>
        <w:pStyle w:val="ListParagraph"/>
        <w:ind w:left="403" w:hanging="259"/>
      </w:pPr>
      <w:r>
        <w:rPr>
          <w:rFonts w:ascii="Arial" w:hAnsi="Arial"/>
          <w:b w:val="0"/>
          <w:i w:val="0"/>
          <w:color w:val="1F2430"/>
          <w:sz w:val="19"/>
        </w:rPr>
        <w:t>• Journal approval thresholds must align with delegation of authority.</w:t>
      </w:r>
    </w:p>
    <w:p>
      <w:pPr>
        <w:pStyle w:val="ListParagraph"/>
        <w:ind w:left="403" w:hanging="259"/>
      </w:pPr>
      <w:r>
        <w:rPr>
          <w:rFonts w:ascii="Arial" w:hAnsi="Arial"/>
          <w:b w:val="0"/>
          <w:i w:val="0"/>
          <w:color w:val="1F2430"/>
          <w:sz w:val="19"/>
        </w:rPr>
        <w:t>• Legacy spreadsheet trackers may need migration or archive decisions.</w:t>
      </w:r>
    </w:p>
    <w:p>
      <w:pPr>
        <w:pStyle w:val="ListParagraph"/>
        <w:ind w:left="403" w:hanging="259"/>
      </w:pPr>
      <w:r>
        <w:rPr>
          <w:rFonts w:ascii="Arial" w:hAnsi="Arial"/>
          <w:b w:val="0"/>
          <w:i w:val="0"/>
          <w:color w:val="1F2430"/>
          <w:sz w:val="19"/>
        </w:rPr>
        <w:t>• Users need discipline to attach evidence before sign-off.</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Month-end Close process owner and reviewer roles before design sign-off.</w:t>
      </w:r>
    </w:p>
    <w:p>
      <w:pPr>
        <w:pStyle w:val="ListParagraph"/>
        <w:ind w:left="403" w:hanging="259"/>
      </w:pPr>
      <w:r>
        <w:rPr>
          <w:rFonts w:ascii="Arial" w:hAnsi="Arial"/>
          <w:b w:val="0"/>
          <w:i w:val="0"/>
          <w:color w:val="1F2430"/>
          <w:sz w:val="19"/>
        </w:rPr>
        <w:t>• Validate the required data fields against Microsoft Dynamics 365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Month-end Close Requirements Pack</w:t>
    </w:r>
    <w:r>
      <w:rPr>
        <w:rFonts w:ascii="Arial" w:hAnsi="Arial"/>
        <w:b w:val="0"/>
        <w:i w:val="0"/>
        <w:color w:val="6B7280"/>
        <w:sz w:val="16"/>
      </w:rPr>
      <w:tab/>
      <w:t>Cedar Grove Retail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