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Accounts Payable</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Northstar Trading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Northstar Trading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1,200</w:t>
            </w:r>
          </w:p>
          <w:p>
            <w:pPr>
              <w:spacing w:after="0"/>
              <w:jc w:val="center"/>
            </w:pPr>
            <w:r>
              <w:rPr>
                <w:rFonts w:ascii="Arial" w:hAnsi="Arial"/>
                <w:b w:val="0"/>
                <w:i w:val="0"/>
                <w:color w:val="6B7280"/>
                <w:sz w:val="14"/>
              </w:rPr>
              <w:t>INVOICES / MO</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10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Northstar Trading Ltd needs a structured Accounts Payable requirements pack to reduce rework, clarify control ownership, and make Odoo Finance implementation decisions testable. The pack translates duplicate invoices, manual approval chasing, and weak supplier master controls into requirements for workflow, data, controls, reporting, audit trail, and UAT. It is sized for 1,200 supplier invoices per month and frames the control design, reporting outputs, and acceptance criteria needed within a target delivery window of 10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Accounts Payable process relies on Email approvals, shared AP tracker, and ERP purchase ledger. That creates avoidable risk around duplicate invoices, manual approval chasing, and weak supplier master controls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Supplier invoice intake, validation, coding, approval, payment readiness, and evidence capture; Three-way match readiness across purchase order, goods receipt, and supplier invoice data; and Segregation of duties between supplier maintenance, invoice approval, and payment release. The design will support wholesale trading group users on Odoo Finance, with emphasis on internal audit review of supplier changes and payment controls.</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Accounts Payable requirements for the agreed wholesale trading group process.</w:t>
            </w:r>
          </w:p>
          <w:p>
            <w:pPr>
              <w:spacing w:after="70"/>
            </w:pPr>
            <w:r>
              <w:rPr>
                <w:rFonts w:ascii="Arial" w:hAnsi="Arial"/>
                <w:b w:val="0"/>
                <w:i w:val="0"/>
                <w:color w:val="1F2430"/>
                <w:sz w:val="19"/>
              </w:rPr>
              <w:t>• Workflow, data, controls, reporting, audit trail, and UAT requirements for Odoo Finance.</w:t>
            </w:r>
          </w:p>
          <w:p>
            <w:pPr>
              <w:spacing w:after="70"/>
            </w:pPr>
            <w:r>
              <w:rPr>
                <w:rFonts w:ascii="Arial" w:hAnsi="Arial"/>
                <w:b w:val="0"/>
                <w:i w:val="0"/>
                <w:color w:val="1F2430"/>
                <w:sz w:val="19"/>
              </w:rPr>
              <w:t>• Process pain points covering duplicate invoices, manual approval chasing, and weak supplier master controls.</w:t>
            </w:r>
          </w:p>
          <w:p>
            <w:pPr>
              <w:spacing w:after="70"/>
            </w:pPr>
            <w:r>
              <w:rPr>
                <w:rFonts w:ascii="Arial" w:hAnsi="Arial"/>
                <w:b w:val="0"/>
                <w:i w:val="0"/>
                <w:color w:val="1F2430"/>
                <w:sz w:val="19"/>
              </w:rPr>
              <w:t>• Reporting requirement: Aged approval backlog, blocked invoices, and payment readiness summary.</w:t>
            </w:r>
          </w:p>
          <w:p>
            <w:pPr>
              <w:spacing w:after="70"/>
            </w:pPr>
            <w:r>
              <w:rPr>
                <w:rFonts w:ascii="Arial" w:hAnsi="Arial"/>
                <w:b w:val="0"/>
                <w:i w:val="0"/>
                <w:color w:val="1F2430"/>
                <w:sz w:val="19"/>
              </w:rPr>
              <w:t>• Implementation window and readiness assumptions for the 10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Accounts Payable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Accounts Payable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080"/>
        <w:gridCol w:w="8280"/>
      </w:tblGrid>
      <w:tr>
        <w:tc>
          <w:tcPr>
            <w:tcW w:type="dxa" w:w="108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28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FR-01</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supplier invoice number, supplier name, invoice date, due date, tax amount, purchase order reference, and payment status.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FR-02</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Detect potential duplicate invoices using supplier, invoice number, invoice date, currency, and gross amount.</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FR-03</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Flag invoices without purchase order or goods receipt evidence where three-way match is required.</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FR-04</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Route invoices to the correct approver based on cost centre, amount threshold, and supplier category.</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FR-05</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Prevent payment release until invoice approval controls are complete.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FR-06</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Maintain supplier master data change history for bank details, tax identifiers, and payment terms.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FR-07</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exception reasons for blocked, disputed, or partially matched invoices.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FR-08</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an aged invoice and approval backlog view for finance review.</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960"/>
        <w:gridCol w:w="3720"/>
        <w:gridCol w:w="960"/>
        <w:gridCol w:w="3720"/>
      </w:tblGrid>
      <w:tr>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DR-01</w:t>
            </w:r>
          </w:p>
        </w:tc>
        <w:tc>
          <w:tcPr>
            <w:tcW w:type="dxa" w:w="372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Supplier master ID</w:t>
            </w:r>
          </w:p>
        </w:tc>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DR-02</w:t>
            </w:r>
          </w:p>
        </w:tc>
        <w:tc>
          <w:tcPr>
            <w:tcW w:type="dxa" w:w="372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Supplier invoice number</w:t>
            </w:r>
          </w:p>
        </w:tc>
      </w:tr>
      <w:tr>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DR-03</w:t>
            </w:r>
          </w:p>
        </w:tc>
        <w:tc>
          <w:tcPr>
            <w:tcW w:type="dxa" w:w="372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Purchase order reference</w:t>
            </w:r>
          </w:p>
        </w:tc>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DR-04</w:t>
            </w:r>
          </w:p>
        </w:tc>
        <w:tc>
          <w:tcPr>
            <w:tcW w:type="dxa" w:w="372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Goods receipt reference</w:t>
            </w:r>
          </w:p>
        </w:tc>
      </w:tr>
      <w:tr>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DR-05</w:t>
            </w:r>
          </w:p>
        </w:tc>
        <w:tc>
          <w:tcPr>
            <w:tcW w:type="dxa" w:w="372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Invoice gross amount</w:t>
            </w:r>
          </w:p>
        </w:tc>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DR-06</w:t>
            </w:r>
          </w:p>
        </w:tc>
        <w:tc>
          <w:tcPr>
            <w:tcW w:type="dxa" w:w="372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Tax amount</w:t>
            </w:r>
          </w:p>
        </w:tc>
      </w:tr>
      <w:tr>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DR-07</w:t>
            </w:r>
          </w:p>
        </w:tc>
        <w:tc>
          <w:tcPr>
            <w:tcW w:type="dxa" w:w="372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Approval owner</w:t>
            </w:r>
          </w:p>
        </w:tc>
        <w:tc>
          <w:tcPr>
            <w:tcW w:type="dxa" w:w="96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DR-08</w:t>
            </w:r>
          </w:p>
        </w:tc>
        <w:tc>
          <w:tcPr>
            <w:tcW w:type="dxa" w:w="372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Payment batch reference</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080"/>
        <w:gridCol w:w="8280"/>
      </w:tblGrid>
      <w:tr>
        <w:tc>
          <w:tcPr>
            <w:tcW w:type="dxa" w:w="108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28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CTRL-01</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Duplicate invoice warning before approval or payment release.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CTRL-02</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Approval threshold control by amount and cost centre.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CTRL-03</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Supplier bank detail change review before first payment after change.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CTRL-04</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Three-way match exception review for PO-backed purchases.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CTRL-05</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Segregation of duties control between supplier maintenance and payment approval.</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080"/>
        <w:gridCol w:w="8280"/>
      </w:tblGrid>
      <w:tr>
        <w:tc>
          <w:tcPr>
            <w:tcW w:type="dxa" w:w="108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28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RPT-01</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Aged approval backlog, blocked invoices, and payment readiness summary.</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RPT-02</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Accounts Payable.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RPT-03</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RPT-04</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RPT-05</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080"/>
        <w:gridCol w:w="8280"/>
      </w:tblGrid>
      <w:tr>
        <w:tc>
          <w:tcPr>
            <w:tcW w:type="dxa" w:w="108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28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AUD-01</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invoice creation, coding, approval, rejection, and payment readiness timestamps.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AUD-02</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every approval decision with approver, date, amount, and delegation status.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AUD-03</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before-and-after supplier master data values for sensitive changes.</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AUD-04</w:t>
            </w:r>
          </w:p>
        </w:tc>
        <w:tc>
          <w:tcPr>
            <w:tcW w:type="dxa" w:w="828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evidence links for invoice image, purchase order, goods receipt, and payment batch.</w:t>
            </w:r>
          </w:p>
        </w:tc>
      </w:tr>
      <w:tr>
        <w:tc>
          <w:tcPr>
            <w:tcW w:type="dxa" w:w="10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AUD-05</w:t>
            </w:r>
          </w:p>
        </w:tc>
        <w:tc>
          <w:tcPr>
            <w:tcW w:type="dxa" w:w="828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exception resolution notes and reviewer sign-off.</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AP clerk, I want duplicate invoice warnings so that I can stop duplicate payments before approval.</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Manager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Approval ageing by owner so overdue invoices can be escalated.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AP controller, I want three-way match exceptions grouped by reason so that supplier disputes can be resolved.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internal auditor, I want supplier bank detail change history so that payment fraud risk can be reviewed.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Payment Approver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Evidence that invoice approval controls are complete before release.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880"/>
        <w:gridCol w:w="4240"/>
        <w:gridCol w:w="4240"/>
      </w:tblGrid>
      <w:tr>
        <w:tc>
          <w:tcPr>
            <w:tcW w:type="dxa" w:w="88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240"/>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240"/>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UAT-01</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Duplicate invoice number is entered for the same supplier and gross amount.</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system flags the invoice and blocks payment readiness until reviewed.</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UAT-02</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PO-backed invoice is missing goods receipt evidence.</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invoice appears in the three-way match exception queue.</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UAT-03</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Invoice value exceeds the standard approval threshold.</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Approval routes to the higher authority approver.</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UAT-04</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Supplier bank details are changed before a payment run.</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payment is held until supplier master review is complete.</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UAT-05</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Invoice is rejected by the approver.</w:t>
            </w:r>
          </w:p>
        </w:tc>
        <w:tc>
          <w:tcPr>
            <w:tcW w:type="dxa" w:w="424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rejection reason and timestamp are stored in the audit trail.</w:t>
            </w:r>
          </w:p>
        </w:tc>
      </w:tr>
      <w:tr>
        <w:tc>
          <w:tcPr>
            <w:tcW w:type="dxa" w:w="880"/>
            <w:shd w:fill="EAF0F7"/>
            <w:tcMar>
              <w:top w:w="80" w:type="dxa"/>
              <w:bottom w:w="80" w:type="dxa"/>
              <w:left w:w="140" w:type="dxa"/>
              <w:right w:w="140" w:type="dxa"/>
            </w:tcMar>
            <w:vAlign w:val="center"/>
          </w:tcPr>
          <w:p>
            <w:pPr>
              <w:spacing w:after="0" w:line="264" w:lineRule="auto"/>
            </w:pPr>
            <w:r/>
            <w:r>
              <w:rPr>
                <w:rFonts w:ascii="Arial" w:hAnsi="Arial"/>
                <w:b/>
                <w:i w:val="0"/>
                <w:color w:val="2E5C8A"/>
                <w:sz w:val="19"/>
              </w:rPr>
              <w:t>UAT-06</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AP manager opens the month-end backlog report.</w:t>
            </w:r>
          </w:p>
        </w:tc>
        <w:tc>
          <w:tcPr>
            <w:tcW w:type="dxa" w:w="424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report shows aged invoices, blocked invoices, and approval owner status.</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Duplicate invoice/payment approval controls are configured and visible in test evidence.</w:t>
      </w:r>
    </w:p>
    <w:p>
      <w:pPr>
        <w:pStyle w:val="ListParagraph"/>
        <w:ind w:left="403" w:hanging="259"/>
      </w:pPr>
      <w:r>
        <w:rPr>
          <w:rFonts w:ascii="Arial" w:hAnsi="Arial"/>
          <w:b/>
          <w:i w:val="0"/>
          <w:color w:val="1F2430"/>
          <w:sz w:val="19"/>
        </w:rPr>
        <w:t>2. At least 95% of supplier invoices contain required supplier, invoice, tax, approval, and payment fields.</w:t>
      </w:r>
    </w:p>
    <w:p>
      <w:pPr>
        <w:pStyle w:val="ListParagraph"/>
        <w:ind w:left="403" w:hanging="259"/>
      </w:pPr>
      <w:r>
        <w:rPr>
          <w:rFonts w:ascii="Arial" w:hAnsi="Arial"/>
          <w:b/>
          <w:i w:val="0"/>
          <w:color w:val="1F2430"/>
          <w:sz w:val="19"/>
        </w:rPr>
        <w:t>3. Three-way match exceptions can be exported with owner, reason, and ageing.</w:t>
      </w:r>
    </w:p>
    <w:p>
      <w:pPr>
        <w:pStyle w:val="ListParagraph"/>
        <w:ind w:left="403" w:hanging="259"/>
      </w:pPr>
      <w:r>
        <w:rPr>
          <w:rFonts w:ascii="Arial" w:hAnsi="Arial"/>
          <w:b/>
          <w:i w:val="0"/>
          <w:color w:val="1F2430"/>
          <w:sz w:val="19"/>
        </w:rPr>
        <w:t>4. Supplier master changes show old value, new value, requester, reviewer, and timestamp.</w:t>
      </w:r>
    </w:p>
    <w:p>
      <w:pPr>
        <w:pStyle w:val="ListParagraph"/>
        <w:ind w:left="403" w:hanging="259"/>
      </w:pPr>
      <w:r>
        <w:rPr>
          <w:rFonts w:ascii="Arial" w:hAnsi="Arial"/>
          <w:b/>
          <w:i w:val="0"/>
          <w:color w:val="1F2430"/>
          <w:sz w:val="19"/>
        </w:rPr>
        <w:t>5. Payment readiness cannot be reached without required approval evidence.</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Supplier master data may require cleansing before controls can operate reliably.</w:t>
      </w:r>
    </w:p>
    <w:p>
      <w:pPr>
        <w:pStyle w:val="ListParagraph"/>
        <w:ind w:left="403" w:hanging="259"/>
      </w:pPr>
      <w:r>
        <w:rPr>
          <w:rFonts w:ascii="Arial" w:hAnsi="Arial"/>
          <w:b w:val="0"/>
          <w:i w:val="0"/>
          <w:color w:val="1F2430"/>
          <w:sz w:val="19"/>
        </w:rPr>
        <w:t>• Purchase order and goods receipt data must be available for three-way match readiness.</w:t>
      </w:r>
    </w:p>
    <w:p>
      <w:pPr>
        <w:pStyle w:val="ListParagraph"/>
        <w:ind w:left="403" w:hanging="259"/>
      </w:pPr>
      <w:r>
        <w:rPr>
          <w:rFonts w:ascii="Arial" w:hAnsi="Arial"/>
          <w:b w:val="0"/>
          <w:i w:val="0"/>
          <w:color w:val="1F2430"/>
          <w:sz w:val="19"/>
        </w:rPr>
        <w:t>• Delegated approval rules must be signed off by finance leadership.</w:t>
      </w:r>
    </w:p>
    <w:p>
      <w:pPr>
        <w:pStyle w:val="ListParagraph"/>
        <w:ind w:left="403" w:hanging="259"/>
      </w:pPr>
      <w:r>
        <w:rPr>
          <w:rFonts w:ascii="Arial" w:hAnsi="Arial"/>
          <w:b w:val="0"/>
          <w:i w:val="0"/>
          <w:color w:val="1F2430"/>
          <w:sz w:val="19"/>
        </w:rPr>
        <w:t>• Payment platform integration scope must be confirmed before build.</w:t>
      </w:r>
    </w:p>
    <w:p>
      <w:pPr>
        <w:pStyle w:val="ListParagraph"/>
        <w:ind w:left="403" w:hanging="259"/>
      </w:pPr>
      <w:r>
        <w:rPr>
          <w:rFonts w:ascii="Arial" w:hAnsi="Arial"/>
          <w:b w:val="0"/>
          <w:i w:val="0"/>
          <w:color w:val="1F2430"/>
          <w:sz w:val="19"/>
        </w:rPr>
        <w:t>• Users need training on exception reason codes to avoid inconsistent reporting.</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Accounts Payable process owner and reviewer roles before design sign-off.</w:t>
      </w:r>
    </w:p>
    <w:p>
      <w:pPr>
        <w:pStyle w:val="ListParagraph"/>
        <w:ind w:left="403" w:hanging="259"/>
      </w:pPr>
      <w:r>
        <w:rPr>
          <w:rFonts w:ascii="Arial" w:hAnsi="Arial"/>
          <w:b w:val="0"/>
          <w:i w:val="0"/>
          <w:color w:val="1F2430"/>
          <w:sz w:val="19"/>
        </w:rPr>
        <w:t>• Validate the required data fields against Odoo Finance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Accounts Payable Requirements Pack</w:t>
    </w:r>
    <w:r>
      <w:rPr>
        <w:rFonts w:ascii="Arial" w:hAnsi="Arial"/>
        <w:b w:val="0"/>
        <w:i w:val="0"/>
        <w:color w:val="6B7280"/>
        <w:sz w:val="16"/>
      </w:rPr>
      <w:tab/>
      <w:t>Northstar Trading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