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VAT Reconciliation</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Demo Manufacturing Co</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Demo Manufacturing Co</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15</w:t>
            </w:r>
          </w:p>
          <w:p>
            <w:pPr>
              <w:spacing w:after="0"/>
              <w:jc w:val="center"/>
            </w:pPr>
            <w:r>
              <w:rPr>
                <w:rFonts w:ascii="Arial" w:hAnsi="Arial"/>
                <w:b w:val="0"/>
                <w:i w:val="0"/>
                <w:color w:val="6B7280"/>
                <w:sz w:val="14"/>
              </w:rPr>
              <w:t>TAX CODES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Demo Manufacturing Co needs a structured VAT Reconciliation requirements pack to reduce rework, clarify control ownership, and make SAP Business One implementation decisions testable. The pack translates vAT return differences, manual source register checks, and missing filing evidence into requirements for workflow, data, controls, reporting, audit trail, and UAT. It is sized for Quarterly VAT return with 15 active tax codes and frames the control design, reporting outputs, and acceptance criteria needed within a target delivery window of 6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VAT Reconciliation process relies on ERP tax reports, GL trial balance extracts, and offline VAT working papers. That creates avoidable risk around vAT return differences, manual source register checks, and missing filing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VAT source register extraction, VAT return box mapping, GL VAT control account reconciliation, and filing evidence; Clear ownership of reconciling differences before submission; and Audit trail for adjustments, review, and filing approval. The design will support vat-registered manufacturing entity users on SAP Business One, with emphasis on vat filing evidence, adjustment approval, and audit trail.</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VAT Reconciliation requirements for the agreed vat-registered manufacturing entity process.</w:t>
            </w:r>
          </w:p>
          <w:p>
            <w:pPr>
              <w:spacing w:after="70"/>
            </w:pPr>
            <w:r>
              <w:rPr>
                <w:rFonts w:ascii="Arial" w:hAnsi="Arial"/>
                <w:b w:val="0"/>
                <w:i w:val="0"/>
                <w:color w:val="1F2430"/>
                <w:sz w:val="19"/>
              </w:rPr>
              <w:t>• Workflow, data, controls, reporting, audit trail, and UAT requirements for SAP Business One.</w:t>
            </w:r>
          </w:p>
          <w:p>
            <w:pPr>
              <w:spacing w:after="70"/>
            </w:pPr>
            <w:r>
              <w:rPr>
                <w:rFonts w:ascii="Arial" w:hAnsi="Arial"/>
                <w:b w:val="0"/>
                <w:i w:val="0"/>
                <w:color w:val="1F2430"/>
                <w:sz w:val="19"/>
              </w:rPr>
              <w:t>• Process pain points covering vAT return differences, manual source register checks, and missing filing evidence.</w:t>
            </w:r>
          </w:p>
          <w:p>
            <w:pPr>
              <w:spacing w:after="70"/>
            </w:pPr>
            <w:r>
              <w:rPr>
                <w:rFonts w:ascii="Arial" w:hAnsi="Arial"/>
                <w:b w:val="0"/>
                <w:i w:val="0"/>
                <w:color w:val="1F2430"/>
                <w:sz w:val="19"/>
              </w:rPr>
              <w:t>• Reporting requirement: VAT source-to-return-to-GL reconciliation with difference owner status.</w:t>
            </w:r>
          </w:p>
          <w:p>
            <w:pPr>
              <w:spacing w:after="70"/>
            </w:pPr>
            <w:r>
              <w:rPr>
                <w:rFonts w:ascii="Arial" w:hAnsi="Arial"/>
                <w:b w:val="0"/>
                <w:i w:val="0"/>
                <w:color w:val="1F2430"/>
                <w:sz w:val="19"/>
              </w:rPr>
              <w:t>• Implementation window and readiness assumptions for the 6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VAT Reconciliation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Reconciliation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VAT source register totals for sales, purchases, output tax, input tax, and adjustments.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Map source register totals to VAT return boxes using approved tax code rules.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VAT return boxes to GL VAT control accounts for the reporting period.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differences by tax code, transaction source, entity, and reporting period.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reconciling items with owner, status, reason, amount, and resolution action.</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FR-06</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filing evidence including return version, approver, submission reference, and filing date.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FR-07</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Prevent submission readiness until material differences are reviewed.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FR-08</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VAT reconciliation pack for finance manager and audit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960"/>
        <w:gridCol w:w="3720"/>
        <w:gridCol w:w="960"/>
        <w:gridCol w:w="3720"/>
      </w:tblGrid>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DR-01</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registration/entity</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DR-02</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Tax code</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DR-03</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 amount</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DR-04</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number</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DR-05</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DR-06</w:t>
            </w:r>
          </w:p>
        </w:tc>
        <w:tc>
          <w:tcPr>
            <w:tcW w:type="dxa" w:w="372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Reconciling difference</w:t>
            </w:r>
          </w:p>
        </w:tc>
      </w:tr>
      <w:tr>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DR-07</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 journal reference</w:t>
            </w:r>
          </w:p>
        </w:tc>
        <w:tc>
          <w:tcPr>
            <w:tcW w:type="dxa" w:w="96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DR-08</w:t>
            </w:r>
          </w:p>
        </w:tc>
        <w:tc>
          <w:tcPr>
            <w:tcW w:type="dxa" w:w="372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submission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cannot be marked ready where material differences are unresolved.</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Adjustments require reason code, supporting note, and reviewer approval.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mapping changes require finance owner sign-off.</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 reconciliation must be completed before filing approval.</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CTRL-05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must include approver, date, and submission reference.</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VAT source-to-return-to-GL reconciliation with difference owner status.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VAT Reconciliation.</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RPT-05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080"/>
        <w:gridCol w:w="8280"/>
      </w:tblGrid>
      <w:tr>
        <w:tc>
          <w:tcPr>
            <w:tcW w:type="dxa" w:w="10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28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AUD-01</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source register extraction date, preparer, and data source.</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AUD-02</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VAT box mapping versions and change approvals.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AUD-03</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reconciling difference owner/status history.</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AUD-04</w:t>
            </w:r>
          </w:p>
        </w:tc>
        <w:tc>
          <w:tcPr>
            <w:tcW w:type="dxa" w:w="828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Keep adjustment journal references and review decisions.</w:t>
            </w:r>
          </w:p>
        </w:tc>
      </w:tr>
      <w:tr>
        <w:tc>
          <w:tcPr>
            <w:tcW w:type="dxa" w:w="10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AUD-05</w:t>
            </w:r>
          </w:p>
        </w:tc>
        <w:tc>
          <w:tcPr>
            <w:tcW w:type="dxa" w:w="828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filing approval and submission evidence.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Tax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registers mapped to VAT return boxes so return totals are traceable.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accounts reconciled so balance sheet VAT is explained.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Tax Manager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Material differences blocked before filing so submission risk is reduced.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User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As an auditor, I want VAT box mapping history so that changes to tax treatment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Controller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stored with the pack so audit requests are faster.</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880"/>
        <w:gridCol w:w="4240"/>
        <w:gridCol w:w="4240"/>
      </w:tblGrid>
      <w:tr>
        <w:tc>
          <w:tcPr>
            <w:tcW w:type="dxa" w:w="88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240"/>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UAT-01</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 total does not agree to a VAT return box.</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reconciling difference is created with owner, amount, and reason fields.</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UAT-02</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 does not agree to return liability.</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variance is flagged and submission readiness is blocked if material.</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UAT-03</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mapping is changed.</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is versioned and requires finance owner sign-off.</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UAT-04</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 journal is posted after review.</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reference and approval evidence are stored against the difference.</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UAT-05</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approval is attempted without submission reference.</w:t>
            </w:r>
          </w:p>
        </w:tc>
        <w:tc>
          <w:tcPr>
            <w:tcW w:type="dxa" w:w="424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is incomplete and approval cannot be finalised.</w:t>
            </w:r>
          </w:p>
        </w:tc>
      </w:tr>
      <w:tr>
        <w:tc>
          <w:tcPr>
            <w:tcW w:type="dxa" w:w="880"/>
            <w:shd w:fill="EAF0F7"/>
            <w:tcMar>
              <w:top w:w="80" w:type="dxa"/>
              <w:bottom w:w="80" w:type="dxa"/>
              <w:left w:w="140" w:type="dxa"/>
              <w:right w:w="140" w:type="dxa"/>
            </w:tcMar>
            <w:vAlign w:val="center"/>
          </w:tcPr>
          <w:p>
            <w:pPr>
              <w:spacing w:after="0" w:line="264" w:lineRule="auto"/>
            </w:pPr>
            <w:r/>
            <w:r>
              <w:rPr>
                <w:rFonts w:ascii="Arial" w:hAnsi="Arial"/>
                <w:b/>
                <w:i w:val="0"/>
                <w:color w:val="2E5C8A"/>
                <w:sz w:val="19"/>
              </w:rPr>
              <w:t>UAT-06</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reconciliation pack is exported.</w:t>
            </w:r>
          </w:p>
        </w:tc>
        <w:tc>
          <w:tcPr>
            <w:tcW w:type="dxa" w:w="424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source registers, VAT return boxes, GL VAT control accounts, differences, and filing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Source registers, VAT return boxes, and GL VAT control accounts are reconciled in one pack.</w:t>
      </w:r>
    </w:p>
    <w:p>
      <w:pPr>
        <w:pStyle w:val="ListParagraph"/>
        <w:ind w:left="403" w:hanging="259"/>
      </w:pPr>
      <w:r>
        <w:rPr>
          <w:rFonts w:ascii="Arial" w:hAnsi="Arial"/>
          <w:b/>
          <w:i w:val="0"/>
          <w:color w:val="1F2430"/>
          <w:sz w:val="19"/>
        </w:rPr>
        <w:t>2. Material differences are owner-assigned and cannot be ignored before filing.</w:t>
      </w:r>
    </w:p>
    <w:p>
      <w:pPr>
        <w:pStyle w:val="ListParagraph"/>
        <w:ind w:left="403" w:hanging="259"/>
      </w:pPr>
      <w:r>
        <w:rPr>
          <w:rFonts w:ascii="Arial" w:hAnsi="Arial"/>
          <w:b/>
          <w:i w:val="0"/>
          <w:color w:val="1F2430"/>
          <w:sz w:val="19"/>
        </w:rPr>
        <w:t>3. VAT box mapping changes are versioned and approved.</w:t>
      </w:r>
    </w:p>
    <w:p>
      <w:pPr>
        <w:pStyle w:val="ListParagraph"/>
        <w:ind w:left="403" w:hanging="259"/>
      </w:pPr>
      <w:r>
        <w:rPr>
          <w:rFonts w:ascii="Arial" w:hAnsi="Arial"/>
          <w:b/>
          <w:i w:val="0"/>
          <w:color w:val="1F2430"/>
          <w:sz w:val="19"/>
        </w:rPr>
        <w:t>4. Filing evidence includes submission reference, approver, and filing date.</w:t>
      </w:r>
    </w:p>
    <w:p>
      <w:pPr>
        <w:pStyle w:val="ListParagraph"/>
        <w:ind w:left="403" w:hanging="259"/>
      </w:pPr>
      <w:r>
        <w:rPr>
          <w:rFonts w:ascii="Arial" w:hAnsi="Arial"/>
          <w:b/>
          <w:i w:val="0"/>
          <w:color w:val="1F2430"/>
          <w:sz w:val="19"/>
        </w:rPr>
        <w:t>5. Adjustments are supported by reason, journal reference, and reviewer sign-off.</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Tax code mapping must be agreed before configuration.</w:t>
      </w:r>
    </w:p>
    <w:p>
      <w:pPr>
        <w:pStyle w:val="ListParagraph"/>
        <w:ind w:left="403" w:hanging="259"/>
      </w:pPr>
      <w:r>
        <w:rPr>
          <w:rFonts w:ascii="Arial" w:hAnsi="Arial"/>
          <w:b w:val="0"/>
          <w:i w:val="0"/>
          <w:color w:val="1F2430"/>
          <w:sz w:val="19"/>
        </w:rPr>
        <w:t>• GL VAT control accounts may require cleanup before reliable reconciliation.</w:t>
      </w:r>
    </w:p>
    <w:p>
      <w:pPr>
        <w:pStyle w:val="ListParagraph"/>
        <w:ind w:left="403" w:hanging="259"/>
      </w:pPr>
      <w:r>
        <w:rPr>
          <w:rFonts w:ascii="Arial" w:hAnsi="Arial"/>
          <w:b w:val="0"/>
          <w:i w:val="0"/>
          <w:color w:val="1F2430"/>
          <w:sz w:val="19"/>
        </w:rPr>
        <w:t>• Filing approval roles must match the finance governance model.</w:t>
      </w:r>
    </w:p>
    <w:p>
      <w:pPr>
        <w:pStyle w:val="ListParagraph"/>
        <w:ind w:left="403" w:hanging="259"/>
      </w:pPr>
      <w:r>
        <w:rPr>
          <w:rFonts w:ascii="Arial" w:hAnsi="Arial"/>
          <w:b w:val="0"/>
          <w:i w:val="0"/>
          <w:color w:val="1F2430"/>
          <w:sz w:val="19"/>
        </w:rPr>
        <w:t>• External tax advisor review may be required for complex adjustments.</w:t>
      </w:r>
    </w:p>
    <w:p>
      <w:pPr>
        <w:pStyle w:val="ListParagraph"/>
        <w:ind w:left="403" w:hanging="259"/>
      </w:pPr>
      <w:r>
        <w:rPr>
          <w:rFonts w:ascii="Arial" w:hAnsi="Arial"/>
          <w:b w:val="0"/>
          <w:i w:val="0"/>
          <w:color w:val="1F2430"/>
          <w:sz w:val="19"/>
        </w:rPr>
        <w:t>• Multi-entity VAT registrations need clear scope before rollout.</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VAT Reconciliation process owner and reviewer roles before design sign-off.</w:t>
      </w:r>
    </w:p>
    <w:p>
      <w:pPr>
        <w:pStyle w:val="ListParagraph"/>
        <w:ind w:left="403" w:hanging="259"/>
      </w:pPr>
      <w:r>
        <w:rPr>
          <w:rFonts w:ascii="Arial" w:hAnsi="Arial"/>
          <w:b w:val="0"/>
          <w:i w:val="0"/>
          <w:color w:val="1F2430"/>
          <w:sz w:val="19"/>
        </w:rPr>
        <w:t>• Validate the required data fields against SAP Business One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VAT Reconciliation Requirements Pack</w:t>
    </w:r>
    <w:r>
      <w:rPr>
        <w:rFonts w:ascii="Arial" w:hAnsi="Arial"/>
        <w:b w:val="0"/>
        <w:i w:val="0"/>
        <w:color w:val="6B7280"/>
        <w:sz w:val="16"/>
      </w:rPr>
      <w:tab/>
      <w:t>Demo Manufacturing 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