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identify which measurement combinations and regimes provide useful constraints on aerosol processes. DEHM contributes to the European CAMS regional air-quality system [17], giving its developers a direct route to evaluate these diagnostics. The practical output is a documented basis for prioritising process tests and assessing whether apparent concentration improvements conceal deposition errors.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The European air-concentration archive was obtained primarily through the European Commission’s Joint Research Centre (JRC), retaining attribution to originating national programmes [22]. It includes four named series in 1986: Berlin, Braunschweig, Risø and Wien-Hohe Warte, with broader coverage from 2006. Direct Deutscher Wetterdienst (DWD) records add aerosol and deposition measurements and station/method metadata; 2009–2024 remains the established baseline for joint evaluation [20]. Chham and Ye have signed a data-access agreement with the Comprehensive Nuclear-Test-Ban Treaty Organization (CTBTO) to extend the airborne ⁷Be archive internationally [23]. WP1 will verify usable station-period coverage across these sources; further DWD historical recovery is ongoing.</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Code, process operators, aerosol treatment and CRAC:Be formulation [3,9] will be documented and held constant across experiments. Observation-facing runs use time-varying production driven by archived solar-modulation and geomagnetic inputs. Layer 1 is the surface.</w:t>
      </w:r>
    </w:p>
    <w:p>
      <w:pPr>
        <w:jc w:val="both"/>
      </w:pPr>
      <w:r>
        <w:rPr/>
        <w:t>Production P(x,t) is partitioned by non-negative masks wₖ, with Σₖwₖ = 1 and Pₖ = wₖP. Labels share transport, decay and deposition, recording production region or boundary entry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Realised upper and lateral exchanges, separately budgeted from production within resolved cells. TOP follows the prescribed upper concentration; boundary additions and withdrawals are accounted for.</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 xml:space="preserve">At the upper boundary, </w:t>
      </w:r>
      <m:oMath>
        <m:sSub>
          <m:e>
            <m:r>
              <w:rPr>
                <w:rFonts w:ascii="Cambria Math" w:hAnsi="Cambria Math"/>
                <w:sz w:val="22"/>
              </w:rPr>
              <m:t>n</m:t>
            </m:r>
          </m:e>
          <m:sub>
            <m:r>
              <w:rPr>
                <w:rFonts w:ascii="Cambria Math" w:hAnsi="Cambria Math"/>
                <w:sz w:val="22"/>
              </w:rPr>
              <m:t>top</m:t>
            </m:r>
          </m:sub>
        </m:sSub>
        <m:r>
          <w:rPr>
            <w:rFonts w:ascii="Cambria Math" w:hAnsi="Cambria Math"/>
            <w:sz w:val="22"/>
          </w:rPr>
          <m:t> = </m:t>
        </m:r>
        <m:sSub>
          <m:e>
            <m:r>
              <w:rPr>
                <w:rFonts w:ascii="Cambria Math" w:hAnsi="Cambria Math"/>
                <w:sz w:val="22"/>
              </w:rPr>
              <m:t>Q</m:t>
            </m:r>
          </m:e>
          <m:sub>
            <m:r>
              <w:rPr>
                <w:rFonts w:ascii="Cambria Math" w:hAnsi="Cambria Math"/>
                <w:sz w:val="22"/>
              </w:rPr>
              <m:t>CRAC</m:t>
            </m:r>
          </m:sub>
        </m:sSub>
        <m:r>
          <w:rPr>
            <w:rFonts w:ascii="Cambria Math" w:hAnsi="Cambria Math"/>
            <w:sz w:val="22"/>
          </w:rPr>
          <m:t>(100 hPa, φ, t)/</m:t>
        </m:r>
        <m:sSub>
          <m:e>
            <m:r>
              <w:rPr>
                <w:rFonts w:ascii="Cambria Math" w:hAnsi="Cambria Math"/>
                <w:sz w:val="22"/>
              </w:rPr>
              <m:t>λ</m:t>
            </m:r>
          </m:e>
          <m:sub>
            <m:r>
              <w:rPr>
                <w:rFonts w:ascii="Cambria Math" w:hAnsi="Cambria Math"/>
                <w:sz w:val="22"/>
              </w:rPr>
              <m:t>7</m:t>
            </m:r>
          </m:sub>
        </m:sSub>
      </m:oMath>
      <w:r>
        <w:rPr/>
        <w:t xml:space="preserve"> is prescribed in atoms kg⁻¹ of air; Q is local production in atoms kg⁻¹ s⁻¹ and λ₇ is the decay constant in s⁻¹. This local production–decay equilibrium approximation retains latitude and solar dependence. TOP tracks the realised boundary contribution separately from in-domain production. Production and circulation above the ceiling remain unresolved; UPPER + TOP is not the complete stratospheric contribution, since pressure bands and entry routes do not establish origin.</w:t>
      </w:r>
    </w:p>
    <w:p>
      <w:pPr/>
      <w:r>
        <w:rPr>
          <w:b/>
        </w:rPr>
        <w:t>Production controls.</w:t>
      </w:r>
      <w:r>
        <w:rPr/>
        <w:t xml:space="preserve"> Companion tracers use a time-invariant CRAC:Be field retaining latitude–altitude structure, with TOP concentration derived from that same field divided by λ₇. LATERAL repeats an annual concentration climatology; realised exchanges remain meteorology-dependent and are budgeted. If lateral variability cannot be controlled, attribution is restricted to in-domain labels and TOP. Paired treatments share meteorology and process settings. Matched-calendar interannual contrasts diagnose transport and removal together, retaining lateral seasonality; wet-setting contrasts test removal. Normalized diagnostics are checked against fixed-source results for spatial and lag-dependent source effects [3].</w:t>
      </w:r>
    </w:p>
    <w:p>
      <w:pPr>
        <w:pStyle w:val="Heading3"/>
      </w:pPr>
      <w:r>
        <w:t>Numerical verification and process budgets</w:t>
      </w:r>
    </w:p>
    <w:p>
      <w:pPr>
        <w:jc w:val="both"/>
      </w:pPr>
      <w:r>
        <w:rPr>
          <w:b/>
        </w:rPr>
        <w:t>Verification tests source reconstruction and mass balance.</w:t>
      </w:r>
      <w:r>
        <w:rPr/>
        <w:t xml:space="preserve"> Labels must reconstruct total concentration, deposition and burden, including after reweighting. Tests cover units, limiters, boundary updates and nested-label transfer, separating boundary inventory changes from production in resolved cells. The proposed tolerance is below 0.1% above a declared absolute floor and ten times smaller than the smallest interpreted response.</w:t>
      </w:r>
    </w:p>
    <w:p>
      <w:pPr>
        <w:jc w:val="both"/>
      </w:pPr>
      <w:r>
        <w:rPr/>
        <w:t>For each label k and common control volume, the inventory Nₖ (total atoms) will satisfy:</w:t>
      </w:r>
    </w:p>
    <w:p>
      <w:pPr>
        <w:jc w:val="center"/>
      </w:pPr>
      <w:r>
        <w:rPr>
          <w:b w:val="0"/>
        </w:rPr>
        <w:t>dNₖ/dt = Pₖ + Fᵢₙ,ₖ − Fₒᵤₜ,ₖ − λNₖ − Lwet,ₖ − Ldry,ₖ + εₖ.</w:t>
      </w:r>
    </w:p>
    <w:p>
      <w:pPr>
        <w:jc w:val="both"/>
      </w:pPr>
      <w:r>
        <w:rPr/>
        <w:t>P and F are production and transfer rates, L denotes removal and ε the residual. Time-step ledgers retain origin labels across pressure bands and pair internal transfers with equal and opposite entries, including moving-boundary/rebinning terms. Boundary inventory adjustments and operator losses are recorded without double counting resolved production. Whole-domain closure is mandatory; unresolved local terms are reported explicitly.</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and linked upper-boundary concentration;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Reweight UPPER and TOP after linearity tests, preserving production–TOP links for source scenarios; TOP-only contrasts test the boundary approximation.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and its linked TOP concentration; control LATERAL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concentration/production units, boundary updates, pressure-band and spin-up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prescribed boundary concentrations,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contrasts include production and lateral-input uncertainty as alternative explanations. Reweighting uses each wet setting’s verified label fields, preserving its transport and removal response. Production-consistent scenarios propagate changes in CRAC:Be production at 100 hPa to TOP through the equilibrium relation; TOP-only contrasts test the boundary approximation. A supply–removal interaction is measured as a difference of differences in the same output, expressing changing sink exposure.</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CTBTO air records are expected mainly from around 2000, including sites in Europe, North America and Asia; WP1 will establish actual station-years within DEHM coverage. Provenance, sample windows and station histories will identify overlapping records across JRC, DWD and CTBTO before panel selection. DWD’s 2018 collector transition remains a method stratum [20], with stable-method subsets checked separately. Joint tests retain valid air–deposition pairs; additional air-only sites test concentration and spatial transfer. The inventory defines usable coverage independently of the 79 preliminary model locations.</w:t>
      </w:r>
    </w:p>
    <w:p>
      <w:pPr>
        <w:jc w:val="both"/>
      </w:pPr>
      <w:r>
        <w:rPr/>
        <w:t>Modelled atoms kg⁻¹ are converted to air activity using the decay constant and matching air density. The observation operator averages activity over collection windows, flow-weighted when possible, in mBq m⁻³, and integrates deposition over its own windows in Bq m⁻². Fluxes match the documented collector response, including wet-plus-dry deposition for bulk collectors [20]. Older Bq L⁻¹ records require matching rain depth (L m⁻²); method, uncertainty and decay conventions are retained. Collector–grid differences enter representativeness error. Nondetections are censored;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Uncertainty-scaled sensitivity vectors and singular values screen confounded responses. Low-dimensional likelihood profiles [8] explore source amplitudes and nuisance terms separately at each simulated wet setting. The discrimination map reports recovery probability for prescribed contrasts and detectable source-amplitude bounds. The planned criterion is ≥80% recovery at ≤5% false discrimination in synthetic tests, with simulation uncertainty. Where it is unmet, results report achieved recovery and the range of contrasts remaining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The M3 data-management plan will define provenance and permissions for JRC/national, DWD and CTBTO records, obtained through their original providers under applicable conditions. It will specify budget units/sign conventions, versioned metadata, storage in TB, retention, hosting and maintenance responsibilities through and beyond the fellowship; WP1 verifies transfers and closure by MS1 (M4). Protocols and withheld blocks are versioned before fitting. Curated model products, publication-supporting data and reusable analysis code will be DOI-archived with appropriate licences, FAIR metadata and open formats [19]. Restricted observations remain with authorised users; synthetic examples and tests enable independent reuse.</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institutional profile documents regional Eulerian modelling and data assimilation [13]; she is a co-author of the CAMS regional production-system description [17]. Three previous one-month research visits and the joint ⁷Be–DEHM implementation [7] provide an established working relationship. The fellowship advances this collaboration toward Chham’s independent experimental design and model-evaluation leadership.</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Controlled process contrasts and targeted inverse-problem training: reviewed synthetic-recovery and uncertainty protocol before observational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t>Table 5. Training is assessed through reviewed code, executable methods and independent scientific decisions.</w:t>
      </w:r>
    </w:p>
    <w:p>
      <w:pPr>
        <w:jc w:val="both"/>
      </w:pPr>
      <w:r>
        <w:rPr/>
        <w:t>The supervision plan provides weekly progress meetings and quarterly scientific reviews. In M1, Chham and Ye will agree a career-development plan, including targeted training in inverse problems and uncertainty analysis, reviewed every six months. Chham leads implementation, analysis and documentation; Ye reviews DEHM interventions and scientific interpretation. Before observational fitting, a methodological review will assess synthetic recovery, uncertainty and scoring. Ye will coordinate the appropriate expertise through the training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research on ⁷Be prediction [10], sampling-interval effects in CWT/PSCF [11] and Open-AMA software [12] demonstrates measurement-aware analysis and reproducibility. DEHM, Fortran, R/Python and NetCDF experience provides the implementation base, complemented by teaching and supervision described in Part B2. The fellowship develops his ability to design controlled model experiments, quantify competing explanations and lead their scientific evaluation.</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The career objective is an independent research line in atmospheric transport and aerosol-process evaluation, supported by the ability to lead model development and environmental-assessment projects. Training in source budgets and uncertainty analysis will extend Chham’s radioactivity expertise into experimental design and process inference. By M24, he will lead a reusable diagnostic release, target two lead-author manuscript submissions and prepare a follow-on research proposal. Developer demonstrations and practical teaching will provide evidence of technical leadership and knowledge transfer. Six-month reviews will assess these outputs, independent design decisions and progress toward academic or applied atmospheric-modelling positions.</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targets atmospheric modellers and environmental-radioactivity researchers; exploitation delivers a usable diagnostic method; communication explains why matching measurements can mask incorrect processes. Demonstrations, training and the data-access interface share the tested benchmark and release, within the existing WP5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and deliver a developer note with supported changes, alternative explanations and regression tests. Record feedback and reproduction effort;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finer sampling helps. Invite feedback from JRC, DWD and relevant CTBTO/IMS specialists; record responses and reuse requests.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example and data-access interface, two practical training sessions and an accessible radiotracer brief. Record attendance, tutorial completion and use of published outputs.</w:t>
            </w:r>
          </w:p>
        </w:tc>
      </w:tr>
    </w:tbl>
    <w:p>
      <w:pPr>
        <w:pStyle w:val="Caption"/>
      </w:pPr>
      <w:r>
        <w:rPr/>
        <w:t>Table 6. Products, target audiences and measures of use guide dissemination and exploitation throughout the fellowship.</w:t>
      </w:r>
    </w:p>
    <w:p>
      <w:pPr>
        <w:jc w:val="both"/>
      </w:pPr>
      <w:r>
        <w:rPr/>
        <w:t>Reusable analysis tools will use an appropriate open-source software licence agreed with AU, respecting ownership and dependency compatibility; host-owned DEHM code remains separately governed. Versioned schemas, tests and a synthetic benchmark support independent reuse. A lightweight interface using established data-serving tools will provide direct downloads of published model subsets selected by period, area, variable and available hourly, daily or monthly resolution, with metadata, version and citation information. Curated products and publication-supporting data remain DOI-archived. Developer demonstrations and an independent re-run will assess usability and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link verified ⁷Be source budgets to observational discrimination of atmospheric explanations. Three wet settings with variable/fixed source forcing over 1986–2024/2025 test robustness across three complete solar cycles. Long European records add temporal reach; CTBTO air observations extend spatial tests within DEHM coverage. Paired concentration–deposition records determine where deposition adds information. The resulting map will identify compatible explanations and the additional sampling needed to distinguish them.</w:t>
      </w:r>
    </w:p>
    <w:p>
      <w:pPr>
        <w:jc w:val="both"/>
      </w:pPr>
      <w:r>
        <w:rPr>
          <w:b/>
        </w:rPr>
        <w:t>Technological and environmental-assessment pathway.</w:t>
      </w:r>
      <w:r>
        <w:rPr/>
        <w:t xml:space="preserve"> DEHM is one of the 11 models contributing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boundary conversion and spin-up; audit model inputs and JRC/DWD/CTBTO coverage, overlaps and permissions; benchmark resources and lock evaluation blocks. D1: source/measurement protocol and data-management plan, including the historical-input contingency.</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and locked historical/recent tests; assess CTBTO spatial transfer with air records and joint skill with valid air–deposition pairs. Check stable segments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licensed tools, data-access interface,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variable production. Fixed partners run concurrently as additional species where supported; separate execution doubles the total to 234/240. AU’s confirmed provision includes pre-1986 spin-up and a separate 20% restart/verification reserve. WP1 benchmarks contrasting seasonal and wet/dry months with all 14 tracers, online budgets and input/output to refine scheduling and storage. All settings share one meteorological archive.</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JRC/DWD/CTBTO coverage, overlap, permissions and method eras. Retain valid pairs for joint tests and stable segments for temporal comparisons. CTBTO adds air tests; delivery delays do not displace the established paired baseline.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provision supports the complete matrix and M9/M15 schedule. Chham will assemble the 1986–2024/2025 inputs, archive the CRAC-derived upper-boundary formulation and fields, and benchmark the allocated resources in WP1. Ye will oversee execution and scientific decisions. The signed CTBTO agreement complements JRC and DWD data access; WP1 verifies the usable records and permissions. Long runs follow MS1 source-control and input-continuity checks; historical contingencies retain a common period across configurations and source treatments.</w:t>
      </w:r>
    </w:p>
    <w:p>
      <w:pPr>
        <w:jc w:val="both"/>
      </w:pPr>
      <w:r>
        <w:rPr/>
        <w:t>Hourly receptor series and online pressure-band/regional budgets cover both source treatments over the full period; detailed 3-D fields are retained for selected episodes. At approximately 6 MB per hourly file, continuous output over 234/240 configuration-years would occupy 12–13 TB for that variable set. AU infrastructure provides over 600 TB of storage capacity. WP1 scales the estimate to retained tagged fields and episodes, budgeting meteorological inputs, checkpoints and copies separately. The M3 plan records TB requirements and retention, updated with pilot results. Curated daily/monthly products reduce download volumes, using time-weighted concentration means and integrated deposition; published subsets are directly accessible through the WP5 interface and repository.</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p>
      <w:pPr>
        <w:spacing w:after="80"/>
        <w:jc w:val="left"/>
      </w:pPr>
      <w:r>
        <w:rPr>
          <w:sz w:val="18"/>
        </w:rPr>
        <w:t>[22] European Commission, Joint Research Centre. Radioactivity Environmental Monitoring database (REMdb). remon.jrc.ec.europa.eu/About/Environmental-Monitoring/REMdb (accessed 7 September 2026). National monitoring data, provenance and metadata.</w:t>
      </w:r>
    </w:p>
    <w:p>
      <w:pPr>
        <w:spacing w:after="80"/>
        <w:jc w:val="left"/>
      </w:pPr>
      <w:r>
        <w:rPr>
          <w:sz w:val="18"/>
        </w:rPr>
        <w:t>[23] CTBTO. Virtual Data Exploitation Centre (vDEC): scientific data access and use conditions. www.ctbto.org/resources/for-researchers-experts/vdec (accessed 7 September 2026).</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MSCA Postdoctoral Fellowship</dc:title>
  <dc:subject>Controlled DEHM experiments and historical beryllium-7 observations</dc:subject>
  <dc:creator>Essaid Chham</dc:creator>
  <cp:keywords>STRAT-TRACE; MSCA; DEHM; beryllium-7; atmospheric transport; deposition</cp:keywords>
  <dc:description>Clean v9.7 revision: public model-data access, software licensing, pressure-budget documentation and quantified storage.</dc:description>
  <cp:lastModifiedBy/>
  <cp:revision>7</cp:revision>
  <dcterms:created xsi:type="dcterms:W3CDTF">2013-12-23T23:15:00Z</dcterms:created>
  <dcterms:modified xsi:type="dcterms:W3CDTF">2026-09-07T22:53:20Z</dcterms:modified>
  <cp:category/>
  <cp:version>9.7</cp:version>
</cp:coreProperties>
</file>