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Updated literature synthesis for STRAT-TRACE</w:t>
      </w:r>
    </w:p>
    <w:p>
      <w:pPr>
        <w:jc w:val="center"/>
      </w:pPr>
      <w:r>
        <w:rPr>
          <w:i/>
        </w:rPr>
        <w:t>Surface concentration, surface penetration, atmospheric survival and deposition</w:t>
      </w:r>
    </w:p>
    <w:p>
      <w:pPr>
        <w:pStyle w:val="Heading1"/>
      </w:pPr>
      <w:r>
        <w:t>What changed relative to the previous literature list</w:t>
      </w:r>
    </w:p>
    <w:p>
      <w:pPr>
        <w:pStyle w:val="ListBullet"/>
      </w:pPr>
      <w:r>
        <w:t>The literature is now organized around the practical endpoint: the fate of a fixed stratospheric signal at the surface.</w:t>
      </w:r>
    </w:p>
    <w:p>
      <w:pPr>
        <w:pStyle w:val="ListBullet"/>
      </w:pPr>
      <w:r>
        <w:t>Three references were added because they directly support surface concentration and/or removal: Liu et al. (2001), Škerlak et al. (2019), and Kremenchutskii (2022).</w:t>
      </w:r>
    </w:p>
    <w:p>
      <w:pPr>
        <w:pStyle w:val="ListBullet"/>
      </w:pPr>
      <w:r>
        <w:t>Fang et al. (2011) is promoted to a central methodological reference because it uses identical tracer emissions under different climates and explicitly separates transport effects from wet-removal effects.</w:t>
      </w:r>
    </w:p>
    <w:p>
      <w:pPr>
        <w:pStyle w:val="ListBullet"/>
      </w:pPr>
      <w:r>
        <w:t>Liu et al. (2016) remains central because it combines multiple meteorological datasets with ⁷Be surface concentration and deposition.</w:t>
      </w:r>
    </w:p>
    <w:p>
      <w:pPr>
        <w:pStyle w:val="ListBullet"/>
      </w:pPr>
      <w:r>
        <w:t>The updated proposal therefore treats surface concentration and deposition as a diagnostic pair, not as separate side analyses.</w:t>
      </w:r>
    </w:p>
    <w:p>
      <w:pPr>
        <w:pStyle w:val="Heading1"/>
      </w:pPr>
      <w:r>
        <w:t>Key conclusions from the updated evidence base</w:t>
      </w:r>
    </w:p>
    <w:p>
      <w:r>
        <w:rPr>
          <w:b/>
        </w:rPr>
        <w:t xml:space="preserve">Same input can produce different surface concentration because meteorology changes. </w:t>
      </w:r>
      <w:r>
        <w:t>Fang et al. (2011) held tracer emissions fixed and found that climate-driven changes in ventilation and wet removal changed surface concentrations. This is the closest direct analogue to the proposed controlled-source logic.</w:t>
      </w:r>
    </w:p>
    <w:p>
      <w:r>
        <w:rPr>
          <w:b/>
        </w:rPr>
        <w:t xml:space="preserve">An imposed stratospheric tracer can be quantified at the surface. </w:t>
      </w:r>
      <w:r>
        <w:t>Škerlak et al. (2019) found surface peaks of roughly 10–20% of the imposed stratospheric tracer during two deep intrusion events, and showed that boundary-layer transport can be the final controlling step.</w:t>
      </w:r>
    </w:p>
    <w:p>
      <w:r>
        <w:rPr>
          <w:b/>
        </w:rPr>
        <w:t xml:space="preserve">Surface concentration and deposition must be interpreted jointly. </w:t>
      </w:r>
      <w:r>
        <w:t>Liu et al. (2001) used ²¹⁰Pb/⁷Be concentrations and deposition to constrain both transport and scavenging, while Liu et al. (2016) demonstrated that ⁷Be surface concentration and deposition identify excessive cross-tropopause transport under specific meteorological datasets.</w:t>
      </w:r>
    </w:p>
    <w:p>
      <w:r>
        <w:rPr>
          <w:b/>
        </w:rPr>
        <w:t xml:space="preserve">Wet removal depends on precipitation regime, not only precipitation amount. </w:t>
      </w:r>
      <w:r>
        <w:t>Fang et al. (2011) and Kremenchutskii (2022) support analysis of precipitation frequency, intensity, duration and cloud/rainout processes when interpreting aerosol-like tracer removal.</w:t>
      </w:r>
    </w:p>
    <w:p>
      <w:r>
        <w:rPr>
          <w:b/>
        </w:rPr>
        <w:t xml:space="preserve">Model and reanalysis uncertainty remain fundamental. </w:t>
      </w:r>
      <w:r>
        <w:t>Orbe et al. (2017, 2018), Boothe &amp; Homeyer (2017), Hoffmann et al. (2019), and Ploeger &amp; Garny (2022) show why structural and meteorological uncertainties must be assessed separately and why robust signals require multiple diagnostics.</w:t>
      </w:r>
    </w:p>
    <w:p>
      <w:pPr>
        <w:pStyle w:val="Heading1"/>
      </w:pPr>
      <w:r>
        <w:t>Recommended hierarchy of references for the proposal</w:t>
      </w:r>
    </w:p>
    <w:p>
      <w:pPr>
        <w:pStyle w:val="Heading2"/>
      </w:pPr>
      <w:r>
        <w:t>Tier 1 — direct support for the central experiment</w:t>
      </w:r>
    </w:p>
    <w:p>
      <w:pPr>
        <w:pStyle w:val="ListBullet"/>
      </w:pPr>
      <w:r>
        <w:t>Fang et al. (2011)</w:t>
      </w:r>
    </w:p>
    <w:p>
      <w:pPr>
        <w:pStyle w:val="ListBullet"/>
      </w:pPr>
      <w:r>
        <w:t>Abalos et al. (2020)</w:t>
      </w:r>
    </w:p>
    <w:p>
      <w:pPr>
        <w:pStyle w:val="ListBullet"/>
      </w:pPr>
      <w:r>
        <w:t>Škerlak et al. (2019)</w:t>
      </w:r>
    </w:p>
    <w:p>
      <w:pPr>
        <w:pStyle w:val="ListBullet"/>
      </w:pPr>
      <w:r>
        <w:t>Liu et al. (2001)</w:t>
      </w:r>
    </w:p>
    <w:p>
      <w:pPr>
        <w:pStyle w:val="ListBullet"/>
      </w:pPr>
      <w:r>
        <w:t>Liu et al. (2016)</w:t>
      </w:r>
    </w:p>
    <w:p>
      <w:pPr>
        <w:pStyle w:val="ListBullet"/>
      </w:pPr>
      <w:r>
        <w:t>Hernández Pardo et al. (2026)</w:t>
      </w:r>
    </w:p>
    <w:p>
      <w:pPr>
        <w:pStyle w:val="Heading2"/>
      </w:pPr>
      <w:r>
        <w:t>Tier 2 — uncertainty and model/reanalysis design</w:t>
      </w:r>
    </w:p>
    <w:p>
      <w:pPr>
        <w:pStyle w:val="ListBullet"/>
      </w:pPr>
      <w:r>
        <w:t>Orbe et al. (2017)</w:t>
      </w:r>
    </w:p>
    <w:p>
      <w:pPr>
        <w:pStyle w:val="ListBullet"/>
      </w:pPr>
      <w:r>
        <w:t>Orbe et al. (2018)</w:t>
      </w:r>
    </w:p>
    <w:p>
      <w:pPr>
        <w:pStyle w:val="ListBullet"/>
      </w:pPr>
      <w:r>
        <w:t>Boothe &amp; Homeyer (2017)</w:t>
      </w:r>
    </w:p>
    <w:p>
      <w:pPr>
        <w:pStyle w:val="ListBullet"/>
      </w:pPr>
      <w:r>
        <w:t>Hoffmann et al. (2019)</w:t>
      </w:r>
    </w:p>
    <w:p>
      <w:pPr>
        <w:pStyle w:val="ListBullet"/>
      </w:pPr>
      <w:r>
        <w:t>Ploeger &amp; Garny (2022)</w:t>
      </w:r>
    </w:p>
    <w:p>
      <w:pPr>
        <w:pStyle w:val="ListBullet"/>
      </w:pPr>
      <w:r>
        <w:t>Gupta et al. (2020)</w:t>
      </w:r>
    </w:p>
    <w:p>
      <w:pPr>
        <w:pStyle w:val="Heading2"/>
      </w:pPr>
      <w:r>
        <w:t>Tier 3 — Lagrangian/deep STE and supporting framework</w:t>
      </w:r>
    </w:p>
    <w:p>
      <w:pPr>
        <w:pStyle w:val="ListBullet"/>
      </w:pPr>
      <w:r>
        <w:t>James et al. (2003a,b)</w:t>
      </w:r>
    </w:p>
    <w:p>
      <w:pPr>
        <w:pStyle w:val="ListBullet"/>
      </w:pPr>
      <w:r>
        <w:t>Wernli &amp; Bourqui (2002)</w:t>
      </w:r>
    </w:p>
    <w:p>
      <w:pPr>
        <w:pStyle w:val="ListBullet"/>
      </w:pPr>
      <w:r>
        <w:t>Stohl et al. (2003)</w:t>
      </w:r>
    </w:p>
    <w:p>
      <w:pPr>
        <w:pStyle w:val="ListBullet"/>
      </w:pPr>
      <w:r>
        <w:t>Cristofanelli et al. (2003)</w:t>
      </w:r>
    </w:p>
    <w:p>
      <w:pPr>
        <w:pStyle w:val="ListBullet"/>
      </w:pPr>
      <w:r>
        <w:t>Krol et al. (2018)</w:t>
      </w:r>
    </w:p>
    <w:p>
      <w:pPr>
        <w:pStyle w:val="ListBullet"/>
      </w:pPr>
      <w:r>
        <w:t>Waugh &amp; Hall (2002)</w:t>
      </w:r>
    </w:p>
    <w:p>
      <w:pPr>
        <w:pStyle w:val="Heading1"/>
      </w:pPr>
      <w:r>
        <w:t>Updated practical objective supported by the literature</w:t>
      </w:r>
    </w:p>
    <w:p>
      <w:r>
        <w:rPr>
          <w:b/>
        </w:rPr>
        <w:t>Determine whether a constant amount of stratospheric material would experience a different atmospheric fate today than several decades ago, quantified through downward delivery, source-normalized surface concentration, survival during descent, and wet/dry deposition.</w:t>
      </w:r>
    </w:p>
    <w:p>
      <w:pPr>
        <w:pStyle w:val="Heading1"/>
      </w:pPr>
      <w:r>
        <w:t>Three metrics to foreground</w:t>
      </w:r>
    </w:p>
    <w:p>
      <w:pPr>
        <w:pStyle w:val="ListBullet"/>
      </w:pPr>
      <w:r>
        <w:t>Surface penetration: C_PASSIVE,surface / C_source.</w:t>
      </w:r>
    </w:p>
    <w:p>
      <w:pPr>
        <w:pStyle w:val="ListBullet"/>
      </w:pPr>
      <w:r>
        <w:t>Surface survival: C_AEROSOL,surface / C_PASSIVE,surface.</w:t>
      </w:r>
    </w:p>
    <w:p>
      <w:pPr>
        <w:pStyle w:val="ListBullet"/>
      </w:pPr>
      <w:r>
        <w:t>Removal efficiency: wet and dry deposition normalized by source and/or atmospheric burden.</w:t>
      </w:r>
    </w:p>
    <w:p>
      <w:pPr>
        <w:pStyle w:val="Heading1"/>
      </w:pPr>
      <w:r>
        <w:t>New references added to the list</w:t>
      </w:r>
    </w:p>
    <w:p>
      <w:r>
        <w:t>Liu, H., Jacob, D. J., Bey, I., and Yantosca, R. M. (2001). Constraints from 210Pb and 7Be on wet deposition and transport in a global three-dimensional chemical tracer model driven by assimilated meteorological fields. Journal of Geophysical Research: Atmospheres, 106, 12109–12128. DOI: 10.1029/2000JD900839.</w:t>
      </w:r>
    </w:p>
    <w:p>
      <w:r>
        <w:t>Liu, H., Considine, D. B., Horowitz, L. W., et al. (2016). Using beryllium-7 to assess cross-tropopause transport in global models. Atmospheric Chemistry and Physics, 16, 4641–4659. DOI: 10.5194/acp-16-4641-2016.</w:t>
      </w:r>
    </w:p>
    <w:p>
      <w:r>
        <w:t>Kremenchutskii, D. A. (2022). Precipitation scavenging of beryllium-7 (7Be): Observation results and parameterization. Chemosphere, 307, 135908. DOI: 10.1016/j.chemosphere.2022.135908.</w:t>
      </w:r>
    </w:p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STRAT-TRACE literature update — surface concentration and removal — 2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