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STRAT-TRACE</w:t>
      </w:r>
    </w:p>
    <w:p>
      <w:pPr>
        <w:jc w:val="center"/>
      </w:pPr>
      <w:r>
        <w:rPr>
          <w:b/>
          <w:color w:val="365F91"/>
          <w:sz w:val="30"/>
        </w:rPr>
        <w:t>Robust multidecadal changes in stratosphere-to-troposphere transport and aerosol removal from controlled tracer experiments</w:t>
      </w:r>
    </w:p>
    <w:p>
      <w:pPr>
        <w:jc w:val="center"/>
      </w:pPr>
      <w:r>
        <w:rPr>
          <w:i/>
        </w:rPr>
        <w:t>Concept draft for an MSCA European Postdoctoral Fellowship (24 months)</w:t>
      </w:r>
    </w:p>
    <w:p>
      <w:pPr>
        <w:pStyle w:val="Heading1"/>
      </w:pPr>
      <w:r>
        <w:t>Project summary</w:t>
      </w:r>
    </w:p>
    <w:p>
      <w:r>
        <w:t>The exchange of air between the stratosphere and troposphere controls the downward transport of ozone, aerosols and other radiatively and chemically active constituents. Detecting multidecadal changes in this transport is difficult because observed tracers respond simultaneously to changes in their sources, atmospheric circulation, mixing and removal. STRAT-TRACE will address this attribution problem using a controlled numerical experiment: an idealized tracer with an invariant upper-atmospheric source will be transported through several decades of changing meteorology. Because the source is held fixed, interannual and multidecadal changes in the tracer response provide a direct diagnostic of changes in the atmospheric transport–removal system, subject to quantified model and reanalysis uncertainty.</w:t>
      </w:r>
    </w:p>
    <w:p>
      <w:r>
        <w:t>The project will implement a harmonized tracer protocol in DEHM and GEOS-Chem, compare transport-only and aerosol-like versions of the tracer, and combine Eulerian model diagnostics with a common Lagrangian trajectory/particle framework. Meteorological uncertainty will be assessed using ERA5 and MERRA-2 where technically feasible, while structural uncertainty will be quantified from the response of the two transport models and targeted sensitivity experiments. Real ⁷Be concentration and deposition observations will provide an independent observational constraint. The central outcome will be an assessment of which changes in downward stratospheric influence, deep-intrusion characteristics and aerosol removal are robust across models, meteorological datasets and observational diagnostics.</w:t>
      </w:r>
    </w:p>
    <w:p>
      <w:pPr>
        <w:pStyle w:val="Heading1"/>
      </w:pPr>
      <w:r>
        <w:t>1. Excellence</w:t>
      </w:r>
    </w:p>
    <w:p>
      <w:pPr>
        <w:pStyle w:val="Heading2"/>
      </w:pPr>
      <w:r>
        <w:t>1.1 Background and scientific problem</w:t>
      </w:r>
    </w:p>
    <w:p>
      <w:r>
        <w:t>Long-term changes in the Brewer–Dobson circulation, tropopause structure, synoptic dynamics and precipitation can modify the transport of stratospheric material into the troposphere and its subsequent removal. However, a trend in a real atmospheric constituent cannot be uniquely interpreted as a transport trend because its source and chemistry may also change. This is particularly relevant for cosmogenic ⁷Be: it is an excellent tracer of vertical transport and aerosol removal, but its production varies with solar modulation and geomagnetic effects.</w:t>
      </w:r>
    </w:p>
    <w:p>
      <w:r>
        <w:t>Idealized tracers solve the source-variability problem and are well established in atmospheric modelling. The state of the art also reveals, however, that model transport remains highly sensitive to convection, numerical mixing and the way analyzed meteorology is imposed. Furthermore, reanalysis products can produce substantially different STE, trajectories and stratospheric circulation trends. These limitations motivate a project that treats model and meteorological uncertainty as part of the scientific question rather than as secondary caveats.</w:t>
      </w:r>
    </w:p>
    <w:p>
      <w:pPr>
        <w:pStyle w:val="Heading2"/>
      </w:pPr>
      <w:r>
        <w:t>1.2 Knowledge gap and novelty</w:t>
      </w:r>
    </w:p>
    <w:p>
      <w:pPr>
        <w:pStyle w:val="ListBullet"/>
      </w:pPr>
      <w:r>
        <w:t>The novelty is not the existence of an idealized tracer, but a harmonized historical controlled-source benchmark explicitly designed to diagnose multidecadal downward transport and removal.</w:t>
      </w:r>
    </w:p>
    <w:p>
      <w:pPr>
        <w:pStyle w:val="ListBullet"/>
      </w:pPr>
      <w:r>
        <w:t>The project will separate transport from removal using paired transport-only and aerosol-like tracers with exactly the same controlled source.</w:t>
      </w:r>
    </w:p>
    <w:p>
      <w:pPr>
        <w:pStyle w:val="ListBullet"/>
      </w:pPr>
      <w:r>
        <w:t>It will quantify two distinct uncertainty dimensions—model structure and meteorological forcing—rather than interpreting one model/reanalysis as the atmospheric truth.</w:t>
      </w:r>
    </w:p>
    <w:p>
      <w:pPr>
        <w:pStyle w:val="ListBullet"/>
      </w:pPr>
      <w:r>
        <w:t>It will combine climatological Eulerian diagnostics with Lagrangian event attribution of deep stratospheric intrusions.</w:t>
      </w:r>
    </w:p>
    <w:p>
      <w:pPr>
        <w:pStyle w:val="ListBullet"/>
      </w:pPr>
      <w:r>
        <w:t>It will connect the idealized experiment to the real atmosphere through ⁷Be concentration and deposition observations.</w:t>
      </w:r>
    </w:p>
    <w:p>
      <w:pPr>
        <w:pStyle w:val="Heading2"/>
      </w:pPr>
      <w:r>
        <w:t>1.3 Central hypothesis</w:t>
      </w:r>
    </w:p>
    <w:p>
      <w:r>
        <w:rPr>
          <w:b/>
        </w:rPr>
        <w:t>If the same controlled stratospheric signal is imposed throughout several decades, persistent changes in its downward penetration and removal that are reproduced across independent modelling and meteorological frameworks represent robust changes in the atmospheric transport–removal system rather than changes in tracer production.</w:t>
      </w:r>
    </w:p>
    <w:p>
      <w:pPr>
        <w:pStyle w:val="Heading2"/>
      </w:pPr>
      <w:r>
        <w:t>1.4 Objectives</w:t>
      </w:r>
    </w:p>
    <w:p>
      <w:r>
        <w:rPr>
          <w:b/>
        </w:rPr>
        <w:t xml:space="preserve">O1 — Harmonize: </w:t>
      </w:r>
      <w:r>
        <w:t>Develop and benchmark a controlled stratospheric tracer protocol that can be implemented consistently in DEHM and GEOS-Chem.</w:t>
      </w:r>
    </w:p>
    <w:p>
      <w:r>
        <w:rPr>
          <w:b/>
        </w:rPr>
        <w:t xml:space="preserve">O2 — Detect: </w:t>
      </w:r>
      <w:r>
        <w:t>Quantify multidecadal changes in downward transport, lower-tropospheric influence and the frequency, intensity, duration and penetration depth of deep stratospheric intrusions.</w:t>
      </w:r>
    </w:p>
    <w:p>
      <w:r>
        <w:rPr>
          <w:b/>
        </w:rPr>
        <w:t xml:space="preserve">O3 — Attribute uncertainty: </w:t>
      </w:r>
      <w:r>
        <w:t>Determine which differences are associated with meteorological forcing and which reflect model structure using targeted cross-forcing experiments and a common Lagrangian diagnostic.</w:t>
      </w:r>
    </w:p>
    <w:p>
      <w:r>
        <w:rPr>
          <w:b/>
        </w:rPr>
        <w:t xml:space="preserve">O4 — Separate removal: </w:t>
      </w:r>
      <w:r>
        <w:t>Quantify how changes in precipitation, clouds and circulation modify wet/dry removal by comparing transport-only and aerosol-like tracer experiments.</w:t>
      </w:r>
    </w:p>
    <w:p>
      <w:r>
        <w:rPr>
          <w:b/>
        </w:rPr>
        <w:t xml:space="preserve">O5 — Constrain: </w:t>
      </w:r>
      <w:r>
        <w:t>Evaluate the physical realism of the inferred transport/removal variability with observed and simulated ⁷Be concentration and deposition.</w:t>
      </w:r>
    </w:p>
    <w:p>
      <w:pPr>
        <w:pStyle w:val="Heading2"/>
      </w:pPr>
      <w:r>
        <w:t>1.5 Methodology</w:t>
      </w:r>
    </w:p>
    <w:p>
      <w:pPr>
        <w:pStyle w:val="Heading3"/>
      </w:pPr>
      <w:r>
        <w:t>Tracer design: controlled source without lower-atmospheric emissions</w:t>
      </w:r>
    </w:p>
    <w:p>
      <w:r>
        <w:t>A reference tracer will be prescribed only at the upper boundary/lower-stratospheric reservoir of the models, with no additional emissions at lower levels. The source will be constant in time. A strictly conservative continuously forced tracer will not be used as the only diagnostic because it would progressively accumulate; instead, a prescribed source–sink tracer will be used to maintain a statistically informative gradient. The initial benchmark will test one or more prescribed tropospheric e-folding times (e.g., approximately 10, 25 and 90 days) to represent fast, intermediate and slower transport pathways.</w:t>
      </w:r>
    </w:p>
    <w:p>
      <w:r>
        <w:t>A crucial sensitivity concerns the source definition. DEHM has a model top near 100 hPa, close to the tropical tropopause. A fixed-pressure source can therefore generate an artificial trend if the tropopause shifts relative to the source. STRAT-TRACE will explicitly compare a common fixed-pressure/top-boundary formulation with a tropopause-relative diagnostic or source mask where technically feasible. The purpose is not to identify one universally correct tracer but to demonstrate which diagnosed changes are insensitive to source definition.</w:t>
      </w:r>
    </w:p>
    <w:p>
      <w:pPr>
        <w:pStyle w:val="Heading3"/>
      </w:pPr>
      <w:r>
        <w:t>Paired transport and removal experiments</w:t>
      </w:r>
    </w:p>
    <w:p>
      <w:r>
        <w:t>Two primary tracer configurations will share exactly the same source and lifetime. PASSIVE will be transported without wet or dry deposition and will diagnose circulation, mixing and downward transport. AEROSOL will activate the relevant wet and dry deposition processes and will diagnose the combined transport–removal system. Source-normalized burden, survival fraction and cumulative wet/dry deposition will be compared. The paired design avoids interpreting changes in tracer concentration as removal changes when they are actually caused by different atmospheric supply.</w:t>
      </w:r>
    </w:p>
    <w:p>
      <w:pPr>
        <w:pStyle w:val="Heading3"/>
      </w:pPr>
      <w:r>
        <w:t>Models and meteorological forcing</w:t>
      </w:r>
    </w:p>
    <w:tbl>
      <w:tblPr>
        <w:tblStyle w:val="TableGrid"/>
        <w:tblW w:type="auto" w:w="0"/>
        <w:jc w:val="center"/>
        <w:tblLook w:firstColumn="1" w:firstRow="1" w:lastColumn="0" w:lastRow="0" w:noHBand="0" w:noVBand="1" w:val="04A0"/>
      </w:tblPr>
      <w:tblGrid>
        <w:gridCol w:w="2493"/>
        <w:gridCol w:w="2493"/>
        <w:gridCol w:w="2493"/>
        <w:gridCol w:w="2493"/>
      </w:tblGrid>
      <w:tr>
        <w:trPr>
          <w:cantSplit/>
          <w:tblHeader w:val="true"/>
        </w:trPr>
        <w:tc>
          <w:tcPr>
            <w:tcW w:type="dxa" w:w="2493"/>
            <w:shd w:fill="1F4E78"/>
          </w:tcPr>
          <w:p>
            <w:r>
              <w:rPr>
                <w:b/>
                <w:color w:val="FFFFFF"/>
              </w:rPr>
              <w:t>Tier</w:t>
            </w:r>
          </w:p>
        </w:tc>
        <w:tc>
          <w:tcPr>
            <w:tcW w:type="dxa" w:w="2493"/>
            <w:shd w:fill="1F4E78"/>
          </w:tcPr>
          <w:p>
            <w:r>
              <w:rPr>
                <w:b/>
                <w:color w:val="FFFFFF"/>
              </w:rPr>
              <w:t>Configuration</w:t>
            </w:r>
          </w:p>
        </w:tc>
        <w:tc>
          <w:tcPr>
            <w:tcW w:type="dxa" w:w="2493"/>
            <w:shd w:fill="1F4E78"/>
          </w:tcPr>
          <w:p>
            <w:r>
              <w:rPr>
                <w:b/>
                <w:color w:val="FFFFFF"/>
              </w:rPr>
              <w:t>Purpose</w:t>
            </w:r>
          </w:p>
        </w:tc>
        <w:tc>
          <w:tcPr>
            <w:tcW w:type="dxa" w:w="2493"/>
            <w:shd w:fill="1F4E78"/>
          </w:tcPr>
          <w:p>
            <w:r>
              <w:rPr>
                <w:b/>
                <w:color w:val="FFFFFF"/>
              </w:rPr>
              <w:t>Status</w:t>
            </w:r>
          </w:p>
        </w:tc>
      </w:tr>
      <w:tr>
        <w:trPr>
          <w:cantSplit/>
        </w:trPr>
        <w:tc>
          <w:tcPr>
            <w:tcW w:type="dxa" w:w="2493"/>
            <w:tcMar>
              <w:top w:w="80" w:type="dxa"/>
              <w:start w:w="80" w:type="dxa"/>
              <w:bottom w:w="80" w:type="dxa"/>
              <w:end w:w="80" w:type="dxa"/>
            </w:tcMar>
            <w:vAlign w:val="top"/>
            <w:shd w:fill="EAF2F8"/>
          </w:tcPr>
          <w:p>
            <w:r>
              <w:rPr>
                <w:b/>
              </w:rPr>
              <w:t>Core</w:t>
            </w:r>
          </w:p>
        </w:tc>
        <w:tc>
          <w:tcPr>
            <w:tcW w:type="dxa" w:w="2493"/>
            <w:tcMar>
              <w:top w:w="80" w:type="dxa"/>
              <w:start w:w="80" w:type="dxa"/>
              <w:bottom w:w="80" w:type="dxa"/>
              <w:end w:w="80" w:type="dxa"/>
            </w:tcMar>
            <w:vAlign w:val="top"/>
          </w:tcPr>
          <w:p>
            <w:r>
              <w:t>DEHM + WRF/ERA5</w:t>
            </w:r>
          </w:p>
        </w:tc>
        <w:tc>
          <w:tcPr>
            <w:tcW w:type="dxa" w:w="2493"/>
            <w:tcMar>
              <w:top w:w="80" w:type="dxa"/>
              <w:start w:w="80" w:type="dxa"/>
              <w:bottom w:w="80" w:type="dxa"/>
              <w:end w:w="80" w:type="dxa"/>
            </w:tcMar>
            <w:vAlign w:val="top"/>
          </w:tcPr>
          <w:p>
            <w:r>
              <w:t>Historical DEHM transport/removal response</w:t>
            </w:r>
          </w:p>
        </w:tc>
        <w:tc>
          <w:tcPr>
            <w:tcW w:type="dxa" w:w="2493"/>
            <w:tcMar>
              <w:top w:w="80" w:type="dxa"/>
              <w:start w:w="80" w:type="dxa"/>
              <w:bottom w:w="80" w:type="dxa"/>
              <w:end w:w="80" w:type="dxa"/>
            </w:tcMar>
            <w:vAlign w:val="top"/>
          </w:tcPr>
          <w:p>
            <w:r>
              <w:t>Required</w:t>
            </w:r>
          </w:p>
        </w:tc>
      </w:tr>
      <w:tr>
        <w:trPr>
          <w:cantSplit/>
        </w:trPr>
        <w:tc>
          <w:tcPr>
            <w:tcW w:type="dxa" w:w="2493"/>
            <w:tcMar>
              <w:top w:w="80" w:type="dxa"/>
              <w:start w:w="80" w:type="dxa"/>
              <w:bottom w:w="80" w:type="dxa"/>
              <w:end w:w="80" w:type="dxa"/>
            </w:tcMar>
            <w:vAlign w:val="top"/>
            <w:shd w:fill="EAF2F8"/>
          </w:tcPr>
          <w:p>
            <w:r>
              <w:rPr>
                <w:b/>
              </w:rPr>
              <w:t>Core</w:t>
            </w:r>
          </w:p>
        </w:tc>
        <w:tc>
          <w:tcPr>
            <w:tcW w:type="dxa" w:w="2493"/>
            <w:tcMar>
              <w:top w:w="80" w:type="dxa"/>
              <w:start w:w="80" w:type="dxa"/>
              <w:bottom w:w="80" w:type="dxa"/>
              <w:end w:w="80" w:type="dxa"/>
            </w:tcMar>
            <w:vAlign w:val="top"/>
          </w:tcPr>
          <w:p>
            <w:r>
              <w:t>GEOS-Chem + MERRA-2</w:t>
            </w:r>
          </w:p>
        </w:tc>
        <w:tc>
          <w:tcPr>
            <w:tcW w:type="dxa" w:w="2493"/>
            <w:tcMar>
              <w:top w:w="80" w:type="dxa"/>
              <w:start w:w="80" w:type="dxa"/>
              <w:bottom w:w="80" w:type="dxa"/>
              <w:end w:w="80" w:type="dxa"/>
            </w:tcMar>
            <w:vAlign w:val="top"/>
          </w:tcPr>
          <w:p>
            <w:r>
              <w:t>Independent global transport/removal response</w:t>
            </w:r>
          </w:p>
        </w:tc>
        <w:tc>
          <w:tcPr>
            <w:tcW w:type="dxa" w:w="2493"/>
            <w:tcMar>
              <w:top w:w="80" w:type="dxa"/>
              <w:start w:w="80" w:type="dxa"/>
              <w:bottom w:w="80" w:type="dxa"/>
              <w:end w:w="80" w:type="dxa"/>
            </w:tcMar>
            <w:vAlign w:val="top"/>
          </w:tcPr>
          <w:p>
            <w:r>
              <w:t>Required</w:t>
            </w:r>
          </w:p>
        </w:tc>
      </w:tr>
      <w:tr>
        <w:trPr>
          <w:cantSplit/>
        </w:trPr>
        <w:tc>
          <w:tcPr>
            <w:tcW w:type="dxa" w:w="2493"/>
            <w:tcMar>
              <w:top w:w="80" w:type="dxa"/>
              <w:start w:w="80" w:type="dxa"/>
              <w:bottom w:w="80" w:type="dxa"/>
              <w:end w:w="80" w:type="dxa"/>
            </w:tcMar>
            <w:vAlign w:val="top"/>
            <w:shd w:fill="EAF2F8"/>
          </w:tcPr>
          <w:p>
            <w:r>
              <w:rPr>
                <w:b/>
              </w:rPr>
              <w:t>Attribution</w:t>
            </w:r>
          </w:p>
        </w:tc>
        <w:tc>
          <w:tcPr>
            <w:tcW w:type="dxa" w:w="2493"/>
            <w:tcMar>
              <w:top w:w="80" w:type="dxa"/>
              <w:start w:w="80" w:type="dxa"/>
              <w:bottom w:w="80" w:type="dxa"/>
              <w:end w:w="80" w:type="dxa"/>
            </w:tcMar>
            <w:vAlign w:val="top"/>
          </w:tcPr>
          <w:p>
            <w:r>
              <w:t>DEHM + WRF/MERRA-2</w:t>
            </w:r>
          </w:p>
        </w:tc>
        <w:tc>
          <w:tcPr>
            <w:tcW w:type="dxa" w:w="2493"/>
            <w:tcMar>
              <w:top w:w="80" w:type="dxa"/>
              <w:start w:w="80" w:type="dxa"/>
              <w:bottom w:w="80" w:type="dxa"/>
              <w:end w:w="80" w:type="dxa"/>
            </w:tcMar>
            <w:vAlign w:val="top"/>
          </w:tcPr>
          <w:p>
            <w:r>
              <w:t>Sensitivity to large-scale forcing within one model</w:t>
            </w:r>
          </w:p>
        </w:tc>
        <w:tc>
          <w:tcPr>
            <w:tcW w:type="dxa" w:w="2493"/>
            <w:tcMar>
              <w:top w:w="80" w:type="dxa"/>
              <w:start w:w="80" w:type="dxa"/>
              <w:bottom w:w="80" w:type="dxa"/>
              <w:end w:w="80" w:type="dxa"/>
            </w:tcMar>
            <w:vAlign w:val="top"/>
          </w:tcPr>
          <w:p>
            <w:r>
              <w:t>High priority, after feasibility test</w:t>
            </w:r>
          </w:p>
        </w:tc>
      </w:tr>
      <w:tr>
        <w:trPr>
          <w:cantSplit/>
        </w:trPr>
        <w:tc>
          <w:tcPr>
            <w:tcW w:type="dxa" w:w="2493"/>
            <w:tcMar>
              <w:top w:w="80" w:type="dxa"/>
              <w:start w:w="80" w:type="dxa"/>
              <w:bottom w:w="80" w:type="dxa"/>
              <w:end w:w="80" w:type="dxa"/>
            </w:tcMar>
            <w:vAlign w:val="top"/>
            <w:shd w:fill="EAF2F8"/>
          </w:tcPr>
          <w:p>
            <w:r>
              <w:rPr>
                <w:b/>
              </w:rPr>
              <w:t>Attribution</w:t>
            </w:r>
          </w:p>
        </w:tc>
        <w:tc>
          <w:tcPr>
            <w:tcW w:type="dxa" w:w="2493"/>
            <w:tcMar>
              <w:top w:w="80" w:type="dxa"/>
              <w:start w:w="80" w:type="dxa"/>
              <w:bottom w:w="80" w:type="dxa"/>
              <w:end w:w="80" w:type="dxa"/>
            </w:tcMar>
            <w:vAlign w:val="top"/>
          </w:tcPr>
          <w:p>
            <w:r>
              <w:t>GEOS-Chem + ERA5</w:t>
            </w:r>
          </w:p>
        </w:tc>
        <w:tc>
          <w:tcPr>
            <w:tcW w:type="dxa" w:w="2493"/>
            <w:tcMar>
              <w:top w:w="80" w:type="dxa"/>
              <w:start w:w="80" w:type="dxa"/>
              <w:bottom w:w="80" w:type="dxa"/>
              <w:end w:w="80" w:type="dxa"/>
            </w:tcMar>
            <w:vAlign w:val="top"/>
          </w:tcPr>
          <w:p>
            <w:r>
              <w:t>Complete factorial model × forcing design</w:t>
            </w:r>
          </w:p>
        </w:tc>
        <w:tc>
          <w:tcPr>
            <w:tcW w:type="dxa" w:w="2493"/>
            <w:tcMar>
              <w:top w:w="80" w:type="dxa"/>
              <w:start w:w="80" w:type="dxa"/>
              <w:bottom w:w="80" w:type="dxa"/>
              <w:end w:w="80" w:type="dxa"/>
            </w:tcMar>
            <w:vAlign w:val="top"/>
          </w:tcPr>
          <w:p>
            <w:r>
              <w:t>Exploratory; not a critical-path objective</w:t>
            </w:r>
          </w:p>
        </w:tc>
      </w:tr>
    </w:tbl>
    <w:p>
      <w:r>
        <w:t>The project will not assume that using a common meteorological product completely isolates model structure. Literature shows that parameterized convection and numerical transport can remain different even under the same analyzed winds. The attribution will therefore be hierarchical and explicitly described as partial rather than exact.</w:t>
      </w:r>
    </w:p>
    <w:p>
      <w:pPr>
        <w:pStyle w:val="Heading3"/>
      </w:pPr>
      <w:r>
        <w:t>Common Lagrangian attribution framework</w:t>
      </w:r>
    </w:p>
    <w:p>
      <w:r>
        <w:t>A single Lagrangian trajectory or particle-dispersion framework will be driven separately with ERA5 and MERRA-2. This creates a cleaner meteorological comparison because the transport algorithm is held fixed while the meteorological dataset changes. For tracer-identified events, trajectories will diagnose source region, minimum pressure/maximum altitude, potential vorticity, tropopause crossings, descent time, residence below the tropopause and penetration into the middle/lower troposphere.</w:t>
      </w:r>
    </w:p>
    <w:p>
      <w:pPr>
        <w:pStyle w:val="Heading3"/>
      </w:pPr>
      <w:r>
        <w:t>Definition of deep stratospheric intrusions</w:t>
      </w:r>
    </w:p>
    <w:p>
      <w:r>
        <w:t>Events will not be defined solely by a percentile of tracer concentration. A candidate event will first be detected from an upper-tail tracer anomaly and then dynamically confirmed using a tropopause/PV criterion and Lagrangian history. Metrics will include annual event frequency, peak intensity, duration, descent time, pressure/height of deepest penetration, affected area and seasonal timing. Sensitivity to the exact thresholds will be quantified.</w:t>
      </w:r>
    </w:p>
    <w:p>
      <w:pPr>
        <w:pStyle w:val="Heading3"/>
      </w:pPr>
      <w:r>
        <w:t>Multidecadal trend and variability analysis</w:t>
      </w:r>
    </w:p>
    <w:p>
      <w:r>
        <w:t>The target period is the satellite/reanalysis era, nominally 1980–2025, with the final common period selected after technical benchmarking and data availability checks. Trends will be evaluated using robust slopes (e.g., Theil–Sen), autocorrelation-aware significance tests, moving windows and change-point diagnostics. Regression/sensitivity analyses will separate long-term change from major modes of interannual variability such as QBO, ENSO and NAO where relevant. A signal will be labelled 'robust' only if its sign and main spatial/seasonal structure are stable across predefined sensitivity tests and at least two independent meteorological/model diagnostics.</w:t>
      </w:r>
    </w:p>
    <w:p>
      <w:pPr>
        <w:pStyle w:val="Heading3"/>
      </w:pPr>
      <w:r>
        <w:t>⁷Be observational constraint</w:t>
      </w:r>
    </w:p>
    <w:p>
      <w:r>
        <w:t>The controlled tracer is designed to detect transport/removal changes, whereas real ⁷Be will test whether the inferred physical variability is consistent with the atmosphere. Existing ⁷Be surface concentration and deposition datasets will be paired with DEHM and GEOS-Chem simulations using physically based production. Where useful, observed/simulated anomalies will be normalized or interpreted together with production variability rather than treating raw ⁷Be trends as direct transport trends.</w:t>
      </w:r>
    </w:p>
    <w:p>
      <w:pPr>
        <w:pStyle w:val="Heading2"/>
      </w:pPr>
      <w:r>
        <w:t>1.6 Expected scientific outcomes</w:t>
      </w:r>
    </w:p>
    <w:p>
      <w:pPr>
        <w:pStyle w:val="ListBullet"/>
      </w:pPr>
      <w:r>
        <w:t>A harmonized controlled-stratospheric-tracer benchmark for DEHM and GEOS-Chem.</w:t>
      </w:r>
    </w:p>
    <w:p>
      <w:pPr>
        <w:pStyle w:val="ListBullet"/>
      </w:pPr>
      <w:r>
        <w:t>A multidecadal climatology of downward stratospheric influence and deep-intrusion metrics.</w:t>
      </w:r>
    </w:p>
    <w:p>
      <w:pPr>
        <w:pStyle w:val="ListBullet"/>
      </w:pPr>
      <w:r>
        <w:t>A quantitative separation of transport-driven and removal-driven changes.</w:t>
      </w:r>
    </w:p>
    <w:p>
      <w:pPr>
        <w:pStyle w:val="ListBullet"/>
      </w:pPr>
      <w:r>
        <w:t>An uncertainty map showing where conclusions are robust or sensitive to model structure/reanalysis.</w:t>
      </w:r>
    </w:p>
    <w:p>
      <w:pPr>
        <w:pStyle w:val="ListBullet"/>
      </w:pPr>
      <w:r>
        <w:t>An observational evaluation using ⁷Be concentration and deposition.</w:t>
      </w:r>
    </w:p>
    <w:p>
      <w:pPr>
        <w:pStyle w:val="ListBullet"/>
      </w:pPr>
      <w:r>
        <w:t>Open analysis code, standardized diagnostics and reusable benchmark specifications for future CTM intercomparisons.</w:t>
      </w:r>
    </w:p>
    <w:p>
      <w:pPr>
        <w:pStyle w:val="Heading1"/>
      </w:pPr>
      <w:r>
        <w:t>2. Impact</w:t>
      </w:r>
    </w:p>
    <w:p>
      <w:pPr>
        <w:pStyle w:val="Heading2"/>
      </w:pPr>
      <w:r>
        <w:t>2.1 Scientific impact</w:t>
      </w:r>
    </w:p>
    <w:p>
      <w:r>
        <w:t>STRAT-TRACE will provide a process-oriented benchmark for identifying long-term changes in vertical transport without conflating them with changing chemical or cosmogenic sources. The results are relevant to tropospheric ozone, stratospheric aerosol influence, air-quality modelling, radionuclide transport and evaluation of reanalysis-driven atmospheric models.</w:t>
      </w:r>
    </w:p>
    <w:p>
      <w:pPr>
        <w:pStyle w:val="Heading2"/>
      </w:pPr>
      <w:r>
        <w:t>2.2 Researcher training and two-way knowledge transfer</w:t>
      </w:r>
    </w:p>
    <w:p>
      <w:r>
        <w:t>The fellowship will combine expertise in atmospheric radionuclides, ⁷Be production and observational evaluation with advanced training in DEHM/WRF transport, GEOS-Chem intercomparison, Lagrangian transport diagnostics, reanalysis uncertainty and robust multidecadal statistics. The fellow will contribute radionuclide modelling, observational harmonization and tracer/deposition evaluation, while the host environment will provide advanced atmospheric transport and regional modelling expertise. Collaboration with a GEOS-Chem/Lagrangian group can further strengthen inter-sectoral and international training.</w:t>
      </w:r>
    </w:p>
    <w:p>
      <w:pPr>
        <w:pStyle w:val="Heading2"/>
      </w:pPr>
      <w:r>
        <w:t>2.3 Dissemination, exploitation and open science</w:t>
      </w:r>
    </w:p>
    <w:p>
      <w:pPr>
        <w:pStyle w:val="ListBullet"/>
      </w:pPr>
      <w:r>
        <w:t>Open benchmark specification for the idealized tracers, including source/sink and diagnostic definitions.</w:t>
      </w:r>
    </w:p>
    <w:p>
      <w:pPr>
        <w:pStyle w:val="ListBullet"/>
      </w:pPr>
      <w:r>
        <w:t>Reusable analysis scripts and derived annual/seasonal diagnostic datasets, subject to licensing of model inputs.</w:t>
      </w:r>
    </w:p>
    <w:p>
      <w:pPr>
        <w:pStyle w:val="ListBullet"/>
      </w:pPr>
      <w:r>
        <w:t>At least three manuscripts: benchmark/uncertainty; multidecadal STE; aerosol removal + ⁷Be evaluation.</w:t>
      </w:r>
    </w:p>
    <w:p>
      <w:pPr>
        <w:pStyle w:val="ListBullet"/>
      </w:pPr>
      <w:r>
        <w:t>Conference dissemination to atmospheric chemistry, climate dynamics and environmental radioactivity communities.</w:t>
      </w:r>
    </w:p>
    <w:p>
      <w:pPr>
        <w:pStyle w:val="ListBullet"/>
      </w:pPr>
      <w:r>
        <w:t>Communication material explaining why controlled tracers are useful for distinguishing source changes from transport changes.</w:t>
      </w:r>
    </w:p>
    <w:p>
      <w:pPr>
        <w:pStyle w:val="Heading1"/>
      </w:pPr>
      <w:r>
        <w:t>3. Quality and efficiency of implementation</w:t>
      </w:r>
    </w:p>
    <w:p>
      <w:pPr>
        <w:pStyle w:val="Heading2"/>
      </w:pPr>
      <w:r>
        <w:t>3.1 Work plan (24 months)</w:t>
      </w:r>
    </w:p>
    <w:tbl>
      <w:tblPr>
        <w:tblStyle w:val="TableGrid"/>
        <w:tblW w:type="auto" w:w="0"/>
        <w:jc w:val="center"/>
        <w:tblLayout w:type="fixed"/>
        <w:tblLook w:firstColumn="1" w:firstRow="1" w:lastColumn="0" w:lastRow="0" w:noHBand="0" w:noVBand="1" w:val="04A0"/>
      </w:tblPr>
      <w:tblGrid>
        <w:gridCol w:w="1994"/>
        <w:gridCol w:w="1994"/>
        <w:gridCol w:w="1994"/>
        <w:gridCol w:w="1994"/>
        <w:gridCol w:w="1994"/>
      </w:tblGrid>
      <w:tr>
        <w:trPr>
          <w:cantSplit/>
          <w:tblHeader w:val="true"/>
        </w:trPr>
        <w:tc>
          <w:tcPr>
            <w:tcW w:type="dxa" w:w="1928"/>
            <w:shd w:fill="1F4E78"/>
          </w:tcPr>
          <w:p>
            <w:pPr>
              <w:spacing w:after="30" w:line="240" w:lineRule="auto"/>
            </w:pPr>
            <w:r>
              <w:rPr>
                <w:b/>
                <w:color w:val="FFFFFF"/>
                <w:sz w:val="17"/>
              </w:rPr>
              <w:t>WP</w:t>
            </w:r>
          </w:p>
        </w:tc>
        <w:tc>
          <w:tcPr>
            <w:tcW w:type="dxa" w:w="964"/>
            <w:shd w:fill="1F4E78"/>
          </w:tcPr>
          <w:p>
            <w:pPr>
              <w:spacing w:after="30" w:line="240" w:lineRule="auto"/>
            </w:pPr>
            <w:r>
              <w:rPr>
                <w:b/>
                <w:color w:val="FFFFFF"/>
                <w:sz w:val="17"/>
              </w:rPr>
              <w:t>Months</w:t>
            </w:r>
          </w:p>
        </w:tc>
        <w:tc>
          <w:tcPr>
            <w:tcW w:type="dxa" w:w="2608"/>
            <w:shd w:fill="1F4E78"/>
          </w:tcPr>
          <w:p>
            <w:pPr>
              <w:spacing w:after="30" w:line="240" w:lineRule="auto"/>
            </w:pPr>
            <w:r>
              <w:rPr>
                <w:b/>
                <w:color w:val="FFFFFF"/>
                <w:sz w:val="17"/>
              </w:rPr>
              <w:t>Main activities</w:t>
            </w:r>
          </w:p>
        </w:tc>
        <w:tc>
          <w:tcPr>
            <w:tcW w:type="dxa" w:w="1928"/>
            <w:shd w:fill="1F4E78"/>
          </w:tcPr>
          <w:p>
            <w:pPr>
              <w:spacing w:after="30" w:line="240" w:lineRule="auto"/>
            </w:pPr>
            <w:r>
              <w:rPr>
                <w:b/>
                <w:color w:val="FFFFFF"/>
                <w:sz w:val="17"/>
              </w:rPr>
              <w:t>Deliverables</w:t>
            </w:r>
          </w:p>
        </w:tc>
        <w:tc>
          <w:tcPr>
            <w:tcW w:type="dxa" w:w="2438"/>
            <w:shd w:fill="1F4E78"/>
          </w:tcPr>
          <w:p>
            <w:pPr>
              <w:spacing w:after="30" w:line="240" w:lineRule="auto"/>
            </w:pPr>
            <w:r>
              <w:rPr>
                <w:b/>
                <w:color w:val="FFFFFF"/>
                <w:sz w:val="17"/>
              </w:rPr>
              <w:t>Decision gate</w:t>
            </w:r>
          </w:p>
        </w:tc>
      </w:tr>
      <w:tr>
        <w:trPr>
          <w:cantSplit/>
        </w:trPr>
        <w:tc>
          <w:tcPr>
            <w:tcW w:type="dxa" w:w="1928"/>
            <w:tcMar>
              <w:top w:w="60" w:type="dxa"/>
              <w:start w:w="60" w:type="dxa"/>
              <w:bottom w:w="60" w:type="dxa"/>
              <w:end w:w="60" w:type="dxa"/>
            </w:tcMar>
            <w:vAlign w:val="top"/>
            <w:shd w:fill="EAF2F8"/>
          </w:tcPr>
          <w:p>
            <w:pPr>
              <w:spacing w:after="30" w:line="240" w:lineRule="auto"/>
            </w:pPr>
            <w:r>
              <w:rPr>
                <w:b/>
                <w:sz w:val="17"/>
              </w:rPr>
              <w:t>WP1 — Benchmark design</w:t>
            </w:r>
          </w:p>
        </w:tc>
        <w:tc>
          <w:tcPr>
            <w:tcW w:type="dxa" w:w="964"/>
            <w:tcMar>
              <w:top w:w="60" w:type="dxa"/>
              <w:start w:w="60" w:type="dxa"/>
              <w:bottom w:w="60" w:type="dxa"/>
              <w:end w:w="60" w:type="dxa"/>
            </w:tcMar>
            <w:vAlign w:val="top"/>
          </w:tcPr>
          <w:p>
            <w:pPr>
              <w:spacing w:after="30" w:line="240" w:lineRule="auto"/>
            </w:pPr>
            <w:r>
              <w:rPr>
                <w:sz w:val="17"/>
              </w:rPr>
              <w:t>M1–M4</w:t>
            </w:r>
          </w:p>
        </w:tc>
        <w:tc>
          <w:tcPr>
            <w:tcW w:type="dxa" w:w="2608"/>
            <w:tcMar>
              <w:top w:w="60" w:type="dxa"/>
              <w:start w:w="60" w:type="dxa"/>
              <w:bottom w:w="60" w:type="dxa"/>
              <w:end w:w="60" w:type="dxa"/>
            </w:tcMar>
            <w:vAlign w:val="top"/>
          </w:tcPr>
          <w:p>
            <w:pPr>
              <w:spacing w:after="30" w:line="240" w:lineRule="auto"/>
            </w:pPr>
            <w:r>
              <w:rPr>
                <w:sz w:val="17"/>
              </w:rPr>
              <w:t>Tracer source/sink design; DEHM and GEOS-Chem implementation; source/lifetime sensitivity tests</w:t>
            </w:r>
          </w:p>
        </w:tc>
        <w:tc>
          <w:tcPr>
            <w:tcW w:type="dxa" w:w="1928"/>
            <w:tcMar>
              <w:top w:w="60" w:type="dxa"/>
              <w:start w:w="60" w:type="dxa"/>
              <w:bottom w:w="60" w:type="dxa"/>
              <w:end w:w="60" w:type="dxa"/>
            </w:tcMar>
            <w:vAlign w:val="top"/>
          </w:tcPr>
          <w:p>
            <w:pPr>
              <w:spacing w:after="30" w:line="240" w:lineRule="auto"/>
            </w:pPr>
            <w:r>
              <w:rPr>
                <w:sz w:val="17"/>
              </w:rPr>
              <w:t>D1 benchmark protocol; D2 short benchmark simulations</w:t>
            </w:r>
          </w:p>
        </w:tc>
        <w:tc>
          <w:tcPr>
            <w:tcW w:type="dxa" w:w="2438"/>
            <w:tcMar>
              <w:top w:w="60" w:type="dxa"/>
              <w:start w:w="60" w:type="dxa"/>
              <w:bottom w:w="60" w:type="dxa"/>
              <w:end w:w="60" w:type="dxa"/>
            </w:tcMar>
            <w:vAlign w:val="top"/>
          </w:tcPr>
          <w:p>
            <w:pPr>
              <w:spacing w:after="30" w:line="240" w:lineRule="auto"/>
            </w:pPr>
            <w:r>
              <w:rPr>
                <w:sz w:val="17"/>
              </w:rPr>
              <w:t>Proceed only after mass balance and cross-model diagnostic consistency are verified</w:t>
            </w:r>
          </w:p>
        </w:tc>
      </w:tr>
      <w:tr>
        <w:trPr>
          <w:cantSplit/>
        </w:trPr>
        <w:tc>
          <w:tcPr>
            <w:tcW w:type="dxa" w:w="1928"/>
            <w:tcMar>
              <w:top w:w="60" w:type="dxa"/>
              <w:start w:w="60" w:type="dxa"/>
              <w:bottom w:w="60" w:type="dxa"/>
              <w:end w:w="60" w:type="dxa"/>
            </w:tcMar>
            <w:vAlign w:val="top"/>
            <w:shd w:fill="EAF2F8"/>
          </w:tcPr>
          <w:p>
            <w:pPr>
              <w:spacing w:after="30" w:line="240" w:lineRule="auto"/>
            </w:pPr>
            <w:r>
              <w:rPr>
                <w:b/>
                <w:sz w:val="17"/>
              </w:rPr>
              <w:t>WP2 — Multidecadal simulations</w:t>
            </w:r>
          </w:p>
        </w:tc>
        <w:tc>
          <w:tcPr>
            <w:tcW w:type="dxa" w:w="964"/>
            <w:tcMar>
              <w:top w:w="60" w:type="dxa"/>
              <w:start w:w="60" w:type="dxa"/>
              <w:bottom w:w="60" w:type="dxa"/>
              <w:end w:w="60" w:type="dxa"/>
            </w:tcMar>
            <w:vAlign w:val="top"/>
          </w:tcPr>
          <w:p>
            <w:pPr>
              <w:spacing w:after="30" w:line="240" w:lineRule="auto"/>
            </w:pPr>
            <w:r>
              <w:rPr>
                <w:sz w:val="17"/>
              </w:rPr>
              <w:t>M4–M13</w:t>
            </w:r>
          </w:p>
        </w:tc>
        <w:tc>
          <w:tcPr>
            <w:tcW w:type="dxa" w:w="2608"/>
            <w:tcMar>
              <w:top w:w="60" w:type="dxa"/>
              <w:start w:w="60" w:type="dxa"/>
              <w:bottom w:w="60" w:type="dxa"/>
              <w:end w:w="60" w:type="dxa"/>
            </w:tcMar>
            <w:vAlign w:val="top"/>
          </w:tcPr>
          <w:p>
            <w:pPr>
              <w:spacing w:after="30" w:line="240" w:lineRule="auto"/>
            </w:pPr>
            <w:r>
              <w:rPr>
                <w:sz w:val="17"/>
              </w:rPr>
              <w:t>Core PASSIVE and AEROSOL runs; common post-processing; annual/seasonal trend metrics</w:t>
            </w:r>
          </w:p>
        </w:tc>
        <w:tc>
          <w:tcPr>
            <w:tcW w:type="dxa" w:w="1928"/>
            <w:tcMar>
              <w:top w:w="60" w:type="dxa"/>
              <w:start w:w="60" w:type="dxa"/>
              <w:bottom w:w="60" w:type="dxa"/>
              <w:end w:w="60" w:type="dxa"/>
            </w:tcMar>
            <w:vAlign w:val="top"/>
          </w:tcPr>
          <w:p>
            <w:pPr>
              <w:spacing w:after="30" w:line="240" w:lineRule="auto"/>
            </w:pPr>
            <w:r>
              <w:rPr>
                <w:sz w:val="17"/>
              </w:rPr>
              <w:t>D3 harmonized model dataset</w:t>
            </w:r>
          </w:p>
        </w:tc>
        <w:tc>
          <w:tcPr>
            <w:tcW w:type="dxa" w:w="2438"/>
            <w:tcMar>
              <w:top w:w="60" w:type="dxa"/>
              <w:start w:w="60" w:type="dxa"/>
              <w:bottom w:w="60" w:type="dxa"/>
              <w:end w:w="60" w:type="dxa"/>
            </w:tcMar>
            <w:vAlign w:val="top"/>
          </w:tcPr>
          <w:p>
            <w:pPr>
              <w:spacing w:after="30" w:line="240" w:lineRule="auto"/>
            </w:pPr>
            <w:r>
              <w:rPr>
                <w:sz w:val="17"/>
              </w:rPr>
              <w:t>If compute cost is excessive, preserve ≥30-year core and reduce secondary sensitivities</w:t>
            </w:r>
          </w:p>
        </w:tc>
      </w:tr>
      <w:tr>
        <w:trPr>
          <w:cantSplit/>
        </w:trPr>
        <w:tc>
          <w:tcPr>
            <w:tcW w:type="dxa" w:w="1928"/>
            <w:tcMar>
              <w:top w:w="60" w:type="dxa"/>
              <w:start w:w="60" w:type="dxa"/>
              <w:bottom w:w="60" w:type="dxa"/>
              <w:end w:w="60" w:type="dxa"/>
            </w:tcMar>
            <w:vAlign w:val="top"/>
            <w:shd w:fill="EAF2F8"/>
          </w:tcPr>
          <w:p>
            <w:pPr>
              <w:spacing w:after="30" w:line="240" w:lineRule="auto"/>
            </w:pPr>
            <w:r>
              <w:rPr>
                <w:b/>
                <w:sz w:val="17"/>
              </w:rPr>
              <w:t>WP3 — Meteorology and Lagrangian attribution</w:t>
            </w:r>
          </w:p>
        </w:tc>
        <w:tc>
          <w:tcPr>
            <w:tcW w:type="dxa" w:w="964"/>
            <w:tcMar>
              <w:top w:w="60" w:type="dxa"/>
              <w:start w:w="60" w:type="dxa"/>
              <w:bottom w:w="60" w:type="dxa"/>
              <w:end w:w="60" w:type="dxa"/>
            </w:tcMar>
            <w:vAlign w:val="top"/>
          </w:tcPr>
          <w:p>
            <w:pPr>
              <w:spacing w:after="30" w:line="240" w:lineRule="auto"/>
            </w:pPr>
            <w:r>
              <w:rPr>
                <w:sz w:val="17"/>
              </w:rPr>
              <w:t>M8–M17</w:t>
            </w:r>
          </w:p>
        </w:tc>
        <w:tc>
          <w:tcPr>
            <w:tcW w:type="dxa" w:w="2608"/>
            <w:tcMar>
              <w:top w:w="60" w:type="dxa"/>
              <w:start w:w="60" w:type="dxa"/>
              <w:bottom w:w="60" w:type="dxa"/>
              <w:end w:w="60" w:type="dxa"/>
            </w:tcMar>
            <w:vAlign w:val="top"/>
          </w:tcPr>
          <w:p>
            <w:pPr>
              <w:spacing w:after="30" w:line="240" w:lineRule="auto"/>
            </w:pPr>
            <w:r>
              <w:rPr>
                <w:sz w:val="17"/>
              </w:rPr>
              <w:t>ERA5/MERRA-2 trajectory experiments; DEHM forcing sensitivity; pathway diagnostics</w:t>
            </w:r>
          </w:p>
        </w:tc>
        <w:tc>
          <w:tcPr>
            <w:tcW w:type="dxa" w:w="1928"/>
            <w:tcMar>
              <w:top w:w="60" w:type="dxa"/>
              <w:start w:w="60" w:type="dxa"/>
              <w:bottom w:w="60" w:type="dxa"/>
              <w:end w:w="60" w:type="dxa"/>
            </w:tcMar>
            <w:vAlign w:val="top"/>
          </w:tcPr>
          <w:p>
            <w:pPr>
              <w:spacing w:after="30" w:line="240" w:lineRule="auto"/>
            </w:pPr>
            <w:r>
              <w:rPr>
                <w:sz w:val="17"/>
              </w:rPr>
              <w:t>D4 uncertainty/attribution dataset</w:t>
            </w:r>
          </w:p>
        </w:tc>
        <w:tc>
          <w:tcPr>
            <w:tcW w:type="dxa" w:w="2438"/>
            <w:tcMar>
              <w:top w:w="60" w:type="dxa"/>
              <w:start w:w="60" w:type="dxa"/>
              <w:bottom w:w="60" w:type="dxa"/>
              <w:end w:w="60" w:type="dxa"/>
            </w:tcMar>
            <w:vAlign w:val="top"/>
          </w:tcPr>
          <w:p>
            <w:pPr>
              <w:spacing w:after="30" w:line="240" w:lineRule="auto"/>
            </w:pPr>
            <w:r>
              <w:rPr>
                <w:sz w:val="17"/>
              </w:rPr>
              <w:t>GEOS-Chem+ERA5 remains optional</w:t>
            </w:r>
          </w:p>
        </w:tc>
      </w:tr>
      <w:tr>
        <w:trPr>
          <w:cantSplit/>
        </w:trPr>
        <w:tc>
          <w:tcPr>
            <w:tcW w:type="dxa" w:w="1928"/>
            <w:tcMar>
              <w:top w:w="60" w:type="dxa"/>
              <w:start w:w="60" w:type="dxa"/>
              <w:bottom w:w="60" w:type="dxa"/>
              <w:end w:w="60" w:type="dxa"/>
            </w:tcMar>
            <w:vAlign w:val="top"/>
            <w:shd w:fill="EAF2F8"/>
          </w:tcPr>
          <w:p>
            <w:pPr>
              <w:spacing w:after="30" w:line="240" w:lineRule="auto"/>
            </w:pPr>
            <w:r>
              <w:rPr>
                <w:b/>
                <w:sz w:val="17"/>
              </w:rPr>
              <w:t>WP4 — Removal and 7Be constraint</w:t>
            </w:r>
          </w:p>
        </w:tc>
        <w:tc>
          <w:tcPr>
            <w:tcW w:type="dxa" w:w="964"/>
            <w:tcMar>
              <w:top w:w="60" w:type="dxa"/>
              <w:start w:w="60" w:type="dxa"/>
              <w:bottom w:w="60" w:type="dxa"/>
              <w:end w:w="60" w:type="dxa"/>
            </w:tcMar>
            <w:vAlign w:val="top"/>
          </w:tcPr>
          <w:p>
            <w:pPr>
              <w:spacing w:after="30" w:line="240" w:lineRule="auto"/>
            </w:pPr>
            <w:r>
              <w:rPr>
                <w:sz w:val="17"/>
              </w:rPr>
              <w:t>M12–M21</w:t>
            </w:r>
          </w:p>
        </w:tc>
        <w:tc>
          <w:tcPr>
            <w:tcW w:type="dxa" w:w="2608"/>
            <w:tcMar>
              <w:top w:w="60" w:type="dxa"/>
              <w:start w:w="60" w:type="dxa"/>
              <w:bottom w:w="60" w:type="dxa"/>
              <w:end w:w="60" w:type="dxa"/>
            </w:tcMar>
            <w:vAlign w:val="top"/>
          </w:tcPr>
          <w:p>
            <w:pPr>
              <w:spacing w:after="30" w:line="240" w:lineRule="auto"/>
            </w:pPr>
            <w:r>
              <w:rPr>
                <w:sz w:val="17"/>
              </w:rPr>
              <w:t>Wet/dry removal; 7Be model-observation evaluation; production-aware interpretation</w:t>
            </w:r>
          </w:p>
        </w:tc>
        <w:tc>
          <w:tcPr>
            <w:tcW w:type="dxa" w:w="1928"/>
            <w:tcMar>
              <w:top w:w="60" w:type="dxa"/>
              <w:start w:w="60" w:type="dxa"/>
              <w:bottom w:w="60" w:type="dxa"/>
              <w:end w:w="60" w:type="dxa"/>
            </w:tcMar>
            <w:vAlign w:val="top"/>
          </w:tcPr>
          <w:p>
            <w:pPr>
              <w:spacing w:after="30" w:line="240" w:lineRule="auto"/>
            </w:pPr>
            <w:r>
              <w:rPr>
                <w:sz w:val="17"/>
              </w:rPr>
              <w:t>D5 validation and removal assessment</w:t>
            </w:r>
          </w:p>
        </w:tc>
        <w:tc>
          <w:tcPr>
            <w:tcW w:type="dxa" w:w="2438"/>
            <w:tcMar>
              <w:top w:w="60" w:type="dxa"/>
              <w:start w:w="60" w:type="dxa"/>
              <w:bottom w:w="60" w:type="dxa"/>
              <w:end w:w="60" w:type="dxa"/>
            </w:tcMar>
            <w:vAlign w:val="top"/>
          </w:tcPr>
          <w:p>
            <w:pPr>
              <w:spacing w:after="30" w:line="240" w:lineRule="auto"/>
            </w:pPr>
            <w:r>
              <w:rPr>
                <w:sz w:val="17"/>
              </w:rPr>
              <w:t>Revise intrusion/removal metrics if observational inconsistency reveals process bias</w:t>
            </w:r>
          </w:p>
        </w:tc>
      </w:tr>
      <w:tr>
        <w:trPr>
          <w:cantSplit/>
        </w:trPr>
        <w:tc>
          <w:tcPr>
            <w:tcW w:type="dxa" w:w="1928"/>
            <w:tcMar>
              <w:top w:w="60" w:type="dxa"/>
              <w:start w:w="60" w:type="dxa"/>
              <w:bottom w:w="60" w:type="dxa"/>
              <w:end w:w="60" w:type="dxa"/>
            </w:tcMar>
            <w:vAlign w:val="top"/>
            <w:shd w:fill="EAF2F8"/>
          </w:tcPr>
          <w:p>
            <w:pPr>
              <w:spacing w:after="30" w:line="240" w:lineRule="auto"/>
            </w:pPr>
            <w:r>
              <w:rPr>
                <w:b/>
                <w:sz w:val="17"/>
              </w:rPr>
              <w:t>WP5 — Synthesis and dissemination</w:t>
            </w:r>
          </w:p>
        </w:tc>
        <w:tc>
          <w:tcPr>
            <w:tcW w:type="dxa" w:w="964"/>
            <w:tcMar>
              <w:top w:w="60" w:type="dxa"/>
              <w:start w:w="60" w:type="dxa"/>
              <w:bottom w:w="60" w:type="dxa"/>
              <w:end w:w="60" w:type="dxa"/>
            </w:tcMar>
            <w:vAlign w:val="top"/>
          </w:tcPr>
          <w:p>
            <w:pPr>
              <w:spacing w:after="30" w:line="240" w:lineRule="auto"/>
            </w:pPr>
            <w:r>
              <w:rPr>
                <w:sz w:val="17"/>
              </w:rPr>
              <w:t>M18–M24</w:t>
            </w:r>
          </w:p>
        </w:tc>
        <w:tc>
          <w:tcPr>
            <w:tcW w:type="dxa" w:w="2608"/>
            <w:tcMar>
              <w:top w:w="60" w:type="dxa"/>
              <w:start w:w="60" w:type="dxa"/>
              <w:bottom w:w="60" w:type="dxa"/>
              <w:end w:w="60" w:type="dxa"/>
            </w:tcMar>
            <w:vAlign w:val="top"/>
          </w:tcPr>
          <w:p>
            <w:pPr>
              <w:spacing w:after="30" w:line="240" w:lineRule="auto"/>
            </w:pPr>
            <w:r>
              <w:rPr>
                <w:sz w:val="17"/>
              </w:rPr>
              <w:t>Robustness synthesis; manuscripts; open code/data; project products</w:t>
            </w:r>
          </w:p>
        </w:tc>
        <w:tc>
          <w:tcPr>
            <w:tcW w:type="dxa" w:w="1928"/>
            <w:tcMar>
              <w:top w:w="60" w:type="dxa"/>
              <w:start w:w="60" w:type="dxa"/>
              <w:bottom w:w="60" w:type="dxa"/>
              <w:end w:w="60" w:type="dxa"/>
            </w:tcMar>
            <w:vAlign w:val="top"/>
          </w:tcPr>
          <w:p>
            <w:pPr>
              <w:spacing w:after="30" w:line="240" w:lineRule="auto"/>
            </w:pPr>
            <w:r>
              <w:rPr>
                <w:sz w:val="17"/>
              </w:rPr>
              <w:t>D6 papers and open benchmark package</w:t>
            </w:r>
          </w:p>
        </w:tc>
        <w:tc>
          <w:tcPr>
            <w:tcW w:type="dxa" w:w="2438"/>
            <w:tcMar>
              <w:top w:w="60" w:type="dxa"/>
              <w:start w:w="60" w:type="dxa"/>
              <w:bottom w:w="60" w:type="dxa"/>
              <w:end w:w="60" w:type="dxa"/>
            </w:tcMar>
            <w:vAlign w:val="top"/>
          </w:tcPr>
          <w:p>
            <w:pPr>
              <w:spacing w:after="30" w:line="240" w:lineRule="auto"/>
            </w:pPr>
            <w:r>
              <w:rPr>
                <w:sz w:val="17"/>
              </w:rPr>
              <w:t>Final claims restricted to signals passing robustness criteria</w:t>
            </w:r>
          </w:p>
        </w:tc>
      </w:tr>
    </w:tbl>
    <w:p>
      <w:pPr>
        <w:pStyle w:val="Heading2"/>
      </w:pPr>
      <w:r>
        <w:t>3.2 Main risks and mitigation</w:t>
      </w:r>
    </w:p>
    <w:tbl>
      <w:tblPr>
        <w:tblStyle w:val="TableGrid"/>
        <w:tblW w:type="auto" w:w="0"/>
        <w:jc w:val="center"/>
        <w:tblLook w:firstColumn="1" w:firstRow="1" w:lastColumn="0" w:lastRow="0" w:noHBand="0" w:noVBand="1" w:val="04A0"/>
      </w:tblPr>
      <w:tblGrid>
        <w:gridCol w:w="3324"/>
        <w:gridCol w:w="3324"/>
        <w:gridCol w:w="3324"/>
      </w:tblGrid>
      <w:tr>
        <w:trPr>
          <w:cantSplit/>
          <w:tblHeader w:val="true"/>
        </w:trPr>
        <w:tc>
          <w:tcPr>
            <w:tcW w:type="dxa" w:w="3324"/>
            <w:shd w:fill="1F4E78"/>
          </w:tcPr>
          <w:p>
            <w:pPr>
              <w:spacing w:after="30"/>
            </w:pPr>
            <w:r>
              <w:rPr>
                <w:b/>
                <w:color w:val="FFFFFF"/>
                <w:sz w:val="18"/>
              </w:rPr>
              <w:t>Risk</w:t>
            </w:r>
          </w:p>
        </w:tc>
        <w:tc>
          <w:tcPr>
            <w:tcW w:type="dxa" w:w="3324"/>
            <w:shd w:fill="1F4E78"/>
          </w:tcPr>
          <w:p>
            <w:pPr>
              <w:spacing w:after="30"/>
            </w:pPr>
            <w:r>
              <w:rPr>
                <w:b/>
                <w:color w:val="FFFFFF"/>
                <w:sz w:val="18"/>
              </w:rPr>
              <w:t>Why it matters</w:t>
            </w:r>
          </w:p>
        </w:tc>
        <w:tc>
          <w:tcPr>
            <w:tcW w:type="dxa" w:w="3324"/>
            <w:shd w:fill="1F4E78"/>
          </w:tcPr>
          <w:p>
            <w:pPr>
              <w:spacing w:after="30"/>
            </w:pPr>
            <w:r>
              <w:rPr>
                <w:b/>
                <w:color w:val="FFFFFF"/>
                <w:sz w:val="18"/>
              </w:rPr>
              <w:t>Mitigation</w:t>
            </w:r>
          </w:p>
        </w:tc>
      </w:tr>
      <w:tr>
        <w:trPr>
          <w:cantSplit/>
        </w:trPr>
        <w:tc>
          <w:tcPr>
            <w:tcW w:type="dxa" w:w="3324"/>
            <w:tcMar>
              <w:top w:w="60" w:type="dxa"/>
              <w:start w:w="60" w:type="dxa"/>
              <w:bottom w:w="60" w:type="dxa"/>
              <w:end w:w="60" w:type="dxa"/>
            </w:tcMar>
            <w:vAlign w:val="top"/>
          </w:tcPr>
          <w:p>
            <w:pPr>
              <w:spacing w:after="30"/>
            </w:pPr>
            <w:r>
              <w:rPr>
                <w:sz w:val="18"/>
              </w:rPr>
              <w:t>ERA5 is not a standard GEOS-Chem meteorological input</w:t>
            </w:r>
          </w:p>
        </w:tc>
        <w:tc>
          <w:tcPr>
            <w:tcW w:type="dxa" w:w="3324"/>
            <w:tcMar>
              <w:top w:w="60" w:type="dxa"/>
              <w:start w:w="60" w:type="dxa"/>
              <w:bottom w:w="60" w:type="dxa"/>
              <w:end w:w="60" w:type="dxa"/>
            </w:tcMar>
            <w:vAlign w:val="top"/>
          </w:tcPr>
          <w:p>
            <w:pPr>
              <w:spacing w:after="30"/>
            </w:pPr>
            <w:r>
              <w:rPr>
                <w:sz w:val="18"/>
              </w:rPr>
              <w:t>A full 2×2 factorial design may be technically unrealistic</w:t>
            </w:r>
          </w:p>
        </w:tc>
        <w:tc>
          <w:tcPr>
            <w:tcW w:type="dxa" w:w="3324"/>
            <w:tcMar>
              <w:top w:w="60" w:type="dxa"/>
              <w:start w:w="60" w:type="dxa"/>
              <w:bottom w:w="60" w:type="dxa"/>
              <w:end w:w="60" w:type="dxa"/>
            </w:tcMar>
            <w:vAlign w:val="top"/>
          </w:tcPr>
          <w:p>
            <w:pPr>
              <w:spacing w:after="30"/>
            </w:pPr>
            <w:r>
              <w:rPr>
                <w:sz w:val="18"/>
              </w:rPr>
              <w:t>Make GEOS-Chem+ERA5 optional. The core attribution uses DEHM forcing sensitivity plus a common Lagrangian ERA5/MERRA-2 comparison.</w:t>
            </w:r>
          </w:p>
        </w:tc>
      </w:tr>
      <w:tr>
        <w:trPr>
          <w:cantSplit/>
        </w:trPr>
        <w:tc>
          <w:tcPr>
            <w:tcW w:type="dxa" w:w="3324"/>
            <w:tcMar>
              <w:top w:w="60" w:type="dxa"/>
              <w:start w:w="60" w:type="dxa"/>
              <w:bottom w:w="60" w:type="dxa"/>
              <w:end w:w="60" w:type="dxa"/>
            </w:tcMar>
            <w:vAlign w:val="top"/>
          </w:tcPr>
          <w:p>
            <w:pPr>
              <w:spacing w:after="30"/>
            </w:pPr>
            <w:r>
              <w:rPr>
                <w:sz w:val="18"/>
              </w:rPr>
              <w:t>Upper source near the DEHM model top/tropical tropopause</w:t>
            </w:r>
          </w:p>
        </w:tc>
        <w:tc>
          <w:tcPr>
            <w:tcW w:type="dxa" w:w="3324"/>
            <w:tcMar>
              <w:top w:w="60" w:type="dxa"/>
              <w:start w:w="60" w:type="dxa"/>
              <w:bottom w:w="60" w:type="dxa"/>
              <w:end w:w="60" w:type="dxa"/>
            </w:tcMar>
            <w:vAlign w:val="top"/>
          </w:tcPr>
          <w:p>
            <w:pPr>
              <w:spacing w:after="30"/>
            </w:pPr>
            <w:r>
              <w:rPr>
                <w:sz w:val="18"/>
              </w:rPr>
              <w:t>A shifting tropopause can create an artificial trend</w:t>
            </w:r>
          </w:p>
        </w:tc>
        <w:tc>
          <w:tcPr>
            <w:tcW w:type="dxa" w:w="3324"/>
            <w:tcMar>
              <w:top w:w="60" w:type="dxa"/>
              <w:start w:w="60" w:type="dxa"/>
              <w:bottom w:w="60" w:type="dxa"/>
              <w:end w:w="60" w:type="dxa"/>
            </w:tcMar>
            <w:vAlign w:val="top"/>
          </w:tcPr>
          <w:p>
            <w:pPr>
              <w:spacing w:after="30"/>
            </w:pPr>
            <w:r>
              <w:rPr>
                <w:sz w:val="18"/>
              </w:rPr>
              <w:t>Test fixed-pressure versus tropopause-relative definitions and several tracer lifetimes; never interpret one source definition alone.</w:t>
            </w:r>
          </w:p>
        </w:tc>
      </w:tr>
      <w:tr>
        <w:trPr>
          <w:cantSplit/>
        </w:trPr>
        <w:tc>
          <w:tcPr>
            <w:tcW w:type="dxa" w:w="3324"/>
            <w:tcMar>
              <w:top w:w="60" w:type="dxa"/>
              <w:start w:w="60" w:type="dxa"/>
              <w:bottom w:w="60" w:type="dxa"/>
              <w:end w:w="60" w:type="dxa"/>
            </w:tcMar>
            <w:vAlign w:val="top"/>
          </w:tcPr>
          <w:p>
            <w:pPr>
              <w:spacing w:after="30"/>
            </w:pPr>
            <w:r>
              <w:rPr>
                <w:sz w:val="18"/>
              </w:rPr>
              <w:t>Forty-year simulations are computationally expensive</w:t>
            </w:r>
          </w:p>
        </w:tc>
        <w:tc>
          <w:tcPr>
            <w:tcW w:type="dxa" w:w="3324"/>
            <w:tcMar>
              <w:top w:w="60" w:type="dxa"/>
              <w:start w:w="60" w:type="dxa"/>
              <w:bottom w:w="60" w:type="dxa"/>
              <w:end w:w="60" w:type="dxa"/>
            </w:tcMar>
            <w:vAlign w:val="top"/>
          </w:tcPr>
          <w:p>
            <w:pPr>
              <w:spacing w:after="30"/>
            </w:pPr>
            <w:r>
              <w:rPr>
                <w:sz w:val="18"/>
              </w:rPr>
              <w:t>Could threaten 24-month feasibility</w:t>
            </w:r>
          </w:p>
        </w:tc>
        <w:tc>
          <w:tcPr>
            <w:tcW w:type="dxa" w:w="3324"/>
            <w:tcMar>
              <w:top w:w="60" w:type="dxa"/>
              <w:start w:w="60" w:type="dxa"/>
              <w:bottom w:w="60" w:type="dxa"/>
              <w:end w:w="60" w:type="dxa"/>
            </w:tcMar>
            <w:vAlign w:val="top"/>
          </w:tcPr>
          <w:p>
            <w:pPr>
              <w:spacing w:after="30"/>
            </w:pPr>
            <w:r>
              <w:rPr>
                <w:sz w:val="18"/>
              </w:rPr>
              <w:t>Use a tiered simulation plan: protect the ≥30-year core, screen sensitivities on shorter representative periods, and run only the most informative full-period cases.</w:t>
            </w:r>
          </w:p>
        </w:tc>
      </w:tr>
      <w:tr>
        <w:trPr>
          <w:cantSplit/>
        </w:trPr>
        <w:tc>
          <w:tcPr>
            <w:tcW w:type="dxa" w:w="3324"/>
            <w:tcMar>
              <w:top w:w="60" w:type="dxa"/>
              <w:start w:w="60" w:type="dxa"/>
              <w:bottom w:w="60" w:type="dxa"/>
              <w:end w:w="60" w:type="dxa"/>
            </w:tcMar>
            <w:vAlign w:val="top"/>
          </w:tcPr>
          <w:p>
            <w:pPr>
              <w:spacing w:after="30"/>
            </w:pPr>
            <w:r>
              <w:rPr>
                <w:sz w:val="18"/>
              </w:rPr>
              <w:t>Reanalysis inhomogeneities mimic trends</w:t>
            </w:r>
          </w:p>
        </w:tc>
        <w:tc>
          <w:tcPr>
            <w:tcW w:type="dxa" w:w="3324"/>
            <w:tcMar>
              <w:top w:w="60" w:type="dxa"/>
              <w:start w:w="60" w:type="dxa"/>
              <w:bottom w:w="60" w:type="dxa"/>
              <w:end w:w="60" w:type="dxa"/>
            </w:tcMar>
            <w:vAlign w:val="top"/>
          </w:tcPr>
          <w:p>
            <w:pPr>
              <w:spacing w:after="30"/>
            </w:pPr>
            <w:r>
              <w:rPr>
                <w:sz w:val="18"/>
              </w:rPr>
              <w:t>Historical observing-system changes can contaminate signals</w:t>
            </w:r>
          </w:p>
        </w:tc>
        <w:tc>
          <w:tcPr>
            <w:tcW w:type="dxa" w:w="3324"/>
            <w:tcMar>
              <w:top w:w="60" w:type="dxa"/>
              <w:start w:w="60" w:type="dxa"/>
              <w:bottom w:w="60" w:type="dxa"/>
              <w:end w:w="60" w:type="dxa"/>
            </w:tcMar>
            <w:vAlign w:val="top"/>
          </w:tcPr>
          <w:p>
            <w:pPr>
              <w:spacing w:after="30"/>
            </w:pPr>
            <w:r>
              <w:rPr>
                <w:sz w:val="18"/>
              </w:rPr>
              <w:t>Use multiple reanalyses, breakpoint/moving-window tests, satellite-era focus and conservative 'robust change' criteria.</w:t>
            </w:r>
          </w:p>
        </w:tc>
      </w:tr>
      <w:tr>
        <w:trPr>
          <w:cantSplit/>
        </w:trPr>
        <w:tc>
          <w:tcPr>
            <w:tcW w:type="dxa" w:w="3324"/>
            <w:tcMar>
              <w:top w:w="60" w:type="dxa"/>
              <w:start w:w="60" w:type="dxa"/>
              <w:bottom w:w="60" w:type="dxa"/>
              <w:end w:w="60" w:type="dxa"/>
            </w:tcMar>
            <w:vAlign w:val="top"/>
          </w:tcPr>
          <w:p>
            <w:pPr>
              <w:spacing w:after="30"/>
            </w:pPr>
            <w:r>
              <w:rPr>
                <w:sz w:val="18"/>
              </w:rPr>
              <w:t>Model structural spread is larger than the signal</w:t>
            </w:r>
          </w:p>
        </w:tc>
        <w:tc>
          <w:tcPr>
            <w:tcW w:type="dxa" w:w="3324"/>
            <w:tcMar>
              <w:top w:w="60" w:type="dxa"/>
              <w:start w:w="60" w:type="dxa"/>
              <w:bottom w:w="60" w:type="dxa"/>
              <w:end w:w="60" w:type="dxa"/>
            </w:tcMar>
            <w:vAlign w:val="top"/>
          </w:tcPr>
          <w:p>
            <w:pPr>
              <w:spacing w:after="30"/>
            </w:pPr>
            <w:r>
              <w:rPr>
                <w:sz w:val="18"/>
              </w:rPr>
              <w:t>Trend attribution becomes ambiguous</w:t>
            </w:r>
          </w:p>
        </w:tc>
        <w:tc>
          <w:tcPr>
            <w:tcW w:type="dxa" w:w="3324"/>
            <w:tcMar>
              <w:top w:w="60" w:type="dxa"/>
              <w:start w:w="60" w:type="dxa"/>
              <w:bottom w:w="60" w:type="dxa"/>
              <w:end w:w="60" w:type="dxa"/>
            </w:tcMar>
            <w:vAlign w:val="top"/>
          </w:tcPr>
          <w:p>
            <w:pPr>
              <w:spacing w:after="30"/>
            </w:pPr>
            <w:r>
              <w:rPr>
                <w:sz w:val="18"/>
              </w:rPr>
              <w:t>Treat structural spread as a result; identify robust regions/seasons and use 7Be/Lagrangian diagnostics to adjudicate mechanisms.</w:t>
            </w:r>
          </w:p>
        </w:tc>
      </w:tr>
    </w:tbl>
    <w:p>
      <w:pPr>
        <w:pStyle w:val="Heading1"/>
      </w:pPr>
      <w:r>
        <w:t>4. Proposed key research question and expected message</w:t>
      </w:r>
    </w:p>
    <w:p>
      <w:r>
        <w:rPr>
          <w:b/>
        </w:rPr>
        <w:t xml:space="preserve">Primary research question: </w:t>
      </w:r>
      <w:r>
        <w:t>Which multidecadal changes in the efficiency, pathways and atmospheric removal of downward stratospheric transport are robust to model formulation and meteorological reanalysis?</w:t>
      </w:r>
    </w:p>
    <w:p>
      <w:r>
        <w:rPr>
          <w:b/>
        </w:rPr>
        <w:t xml:space="preserve">Expected project-level message: </w:t>
      </w:r>
      <w:r>
        <w:t>By holding the stratospheric source constant and explicitly quantifying modelling and meteorological uncertainty, STRAT-TRACE will distinguish robust changes in the atmospheric transport–removal system from changes that are artefacts of tracer production, reanalysis choice or model formulation.</w:t>
      </w:r>
    </w:p>
    <w:p>
      <w:pPr>
        <w:pStyle w:val="Heading1"/>
      </w:pPr>
      <w:r>
        <w:t>5. Priority literature underpinning the concept</w:t>
      </w:r>
    </w:p>
    <w:p>
      <w:r>
        <w:t>Abalos et al. (2020). Future trends in stratosphere-to-troposphere transport in CCMI models. Atmospheric Chemistry and Physics. DOI: 10.5194/acp-20-6883-2020</w:t>
      </w:r>
    </w:p>
    <w:p>
      <w:r>
        <w:t>Fang et al. (2011). The impacts of changing transport and precipitation on pollutant distributions in a future climate. Journal of Geophysical Research: Atmospheres. DOI: 10.1029/2011JD015642</w:t>
      </w:r>
    </w:p>
    <w:p>
      <w:r>
        <w:t>Hernández Pardo et al. (2026). Downward transport of tropical upper-tropospheric aerosols: multi-year insights from idealized simulations. Atmospheric Chemistry and Physics. DOI: 10.5194/acp-26-12275-2026</w:t>
      </w:r>
    </w:p>
    <w:p>
      <w:r>
        <w:t>Meloen et al. (2003). Stratosphere-troposphere exchange: A model and method intercomparison. Journal of Geophysical Research: Atmospheres. DOI: 10.1029/2002JD002274</w:t>
      </w:r>
    </w:p>
    <w:p>
      <w:r>
        <w:t>Orbe et al. (2017). Tropospheric transport differences between models using the same large-scale meteorological fields. Geophysical Research Letters. DOI: 10.1002/2016GL071339</w:t>
      </w:r>
    </w:p>
    <w:p>
      <w:r>
        <w:t>Orbe et al. (2018). Large-scale tropospheric transport in the Chemistry–Climate Model Initiative (CCMI) simulations. Atmospheric Chemistry and Physics. DOI: 10.5194/acp-18-7217-2018</w:t>
      </w:r>
    </w:p>
    <w:p>
      <w:r>
        <w:t>Krol et al. (2018). Age of air as a diagnostic for transport timescales in global models. Geoscientific Model Development. DOI: 10.5194/gmd-11-3109-2018</w:t>
      </w:r>
    </w:p>
    <w:p>
      <w:r>
        <w:t>Liu et al. (2016). Using beryllium-7 to assess cross-tropopause transport in global models. Atmospheric Chemistry and Physics. DOI: 10.5194/acp-16-4641-2016</w:t>
      </w:r>
    </w:p>
    <w:p>
      <w:r>
        <w:t>Boothe &amp; Homeyer (2017). Global large-scale stratosphere–troposphere exchange in modern reanalyses. Atmospheric Chemistry and Physics. DOI: 10.5194/acp-17-5537-2017</w:t>
      </w:r>
    </w:p>
    <w:p>
      <w:r>
        <w:t>Hoffmann et al. (2019). From ERA-Interim to ERA5: the considerable impact of ECMWF's next-generation reanalysis on Lagrangian transport simulations. Atmospheric Chemistry and Physics. DOI: 10.5194/acp-19-3097-2019</w:t>
      </w:r>
    </w:p>
    <w:p>
      <w:r>
        <w:t>Diallo et al. (2021). The advective Brewer–Dobson circulation in the ERA5 reanalysis: climatology, variability, and trends. Atmospheric Chemistry and Physics. DOI: 10.5194/acp-21-7515-2021</w:t>
      </w:r>
    </w:p>
    <w:p>
      <w:r>
        <w:t>Ploeger &amp; Garny (2022). Hemispheric asymmetries in recent changes in the stratospheric circulation. Atmospheric Chemistry and Physics. DOI: 10.5194/acp-22-5559-2022</w:t>
      </w:r>
    </w:p>
    <w:p>
      <w:r>
        <w:t>Weyland et al. (2025). Long-term changes in the thermodynamic structure of the lowermost stratosphere inferred from reanalysis data. Atmospheric Chemistry and Physics. DOI: 10.5194/acp-25-1227-2025</w:t>
      </w:r>
    </w:p>
    <w:p>
      <w:r>
        <w:t>Vogel et al. (2024). Evaluation of vertical transport in ERA5 and ERA-Interim reanalysis using high-altitude aircraft measurements in the Asian summer monsoon 2017. Atmospheric Chemistry and Physics. DOI: 10.5194/acp-24-317-2024</w:t>
      </w:r>
    </w:p>
    <w:p>
      <w:pPr>
        <w:pStyle w:val="Heading1"/>
      </w:pPr>
      <w:r>
        <w:t>6. MSCA positioning note</w:t>
      </w:r>
    </w:p>
    <w:p>
      <w:r>
        <w:t>The 2026 MSCA Postdoctoral Fellowships call is open with a deadline of 9 September 2026. For a European Postdoctoral Fellowship the project duration can be 12–24 months. The concept is naturally positioned in the Environment and Geosciences (ENV) evaluation panel. In a full Part B, the scientific design above should be integrated tightly with supervision, training, two-way knowledge transfer, career development, open science, dissemination/communication and institutional capacity.</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STRAT-TRACE — MSCA Postdoctoral Fellowship concept draft — 1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65F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Line">
    <w:name w:val="SourceLine"/>
    <w:pPr>
      <w:spacing w:after="60"/>
    </w:pPr>
    <w:rPr>
      <w:rFonts w:ascii="Aptos" w:hAnsi="Aptos"/>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