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STRAT-TRACE</w:t>
      </w:r>
    </w:p>
    <w:p>
      <w:pPr>
        <w:jc w:val="center"/>
      </w:pPr>
      <w:r>
        <w:rPr>
          <w:b/>
          <w:color w:val="365F91"/>
          <w:sz w:val="28"/>
        </w:rPr>
        <w:t>How does changing meteorology alter the atmospheric fate and surface influence of stratospheric material?</w:t>
      </w:r>
    </w:p>
    <w:p>
      <w:pPr>
        <w:jc w:val="center"/>
      </w:pPr>
      <w:r>
        <w:rPr>
          <w:i/>
        </w:rPr>
        <w:t>Updated MSCA Postdoctoral Fellowship concept</w:t>
      </w:r>
    </w:p>
    <w:tbl>
      <w:tblPr>
        <w:tblStyle w:val="TableGrid"/>
        <w:tblW w:type="auto" w:w="0"/>
        <w:jc w:val="center"/>
        <w:tblLook w:firstColumn="1" w:firstRow="1" w:lastColumn="0" w:lastRow="0" w:noHBand="0" w:noVBand="1" w:val="04A0"/>
      </w:tblPr>
      <w:tblGrid>
        <w:gridCol w:w="5043"/>
        <w:gridCol w:w="5043"/>
      </w:tblGrid>
      <w:tr>
        <w:tc>
          <w:tcPr>
            <w:tcW w:type="dxa" w:w="5043"/>
            <w:shd w:fill="1F4E78"/>
            <w:tcMar>
              <w:top w:w="110" w:type="dxa"/>
              <w:start w:w="110" w:type="dxa"/>
              <w:bottom w:w="110" w:type="dxa"/>
              <w:end w:w="110" w:type="dxa"/>
            </w:tcMar>
            <w:vAlign w:val="center"/>
          </w:tcPr>
          <w:p>
            <w:r>
              <w:rPr>
                <w:b/>
                <w:color w:val="FFFFFF"/>
              </w:rPr>
              <w:t>Central question</w:t>
            </w:r>
          </w:p>
        </w:tc>
        <w:tc>
          <w:tcPr>
            <w:tcW w:type="dxa" w:w="5043"/>
            <w:shd w:fill="EAF2F8"/>
            <w:tcMar>
              <w:top w:w="110" w:type="dxa"/>
              <w:start w:w="110" w:type="dxa"/>
              <w:bottom w:w="110" w:type="dxa"/>
              <w:end w:w="110" w:type="dxa"/>
            </w:tcMar>
            <w:vAlign w:val="center"/>
          </w:tcPr>
          <w:p>
            <w:r>
              <w:t>How has the atmospheric capacity to transport stratospheric material to the lower troposphere and surface, and to remove it through wet and dry deposition, changed over recent decades; and how robust are these changes across models and meteorological reanalyses?</w:t>
            </w:r>
          </w:p>
        </w:tc>
      </w:tr>
      <w:tr>
        <w:tc>
          <w:tcPr>
            <w:tcW w:type="dxa" w:w="5043"/>
            <w:shd w:fill="1F4E78"/>
            <w:tcMar>
              <w:top w:w="110" w:type="dxa"/>
              <w:start w:w="110" w:type="dxa"/>
              <w:bottom w:w="110" w:type="dxa"/>
              <w:end w:w="110" w:type="dxa"/>
            </w:tcMar>
            <w:vAlign w:val="center"/>
          </w:tcPr>
          <w:p>
            <w:r>
              <w:rPr>
                <w:b/>
                <w:color w:val="FFFFFF"/>
              </w:rPr>
              <w:t>Practical objective</w:t>
            </w:r>
          </w:p>
        </w:tc>
        <w:tc>
          <w:tcPr>
            <w:tcW w:type="dxa" w:w="5043"/>
            <w:shd w:fill="EAF2F8"/>
            <w:tcMar>
              <w:top w:w="110" w:type="dxa"/>
              <w:start w:w="110" w:type="dxa"/>
              <w:bottom w:w="110" w:type="dxa"/>
              <w:end w:w="110" w:type="dxa"/>
            </w:tcMar>
            <w:vAlign w:val="center"/>
          </w:tcPr>
          <w:p>
            <w:r>
              <w:t>Determine whether the same amount of stratospheric material would experience a different atmospheric fate today than several decades ago: different downward transport, different surface concentration, different survival during descent, and different wet/dry removal.</w:t>
            </w:r>
          </w:p>
        </w:tc>
      </w:tr>
      <w:tr>
        <w:tc>
          <w:tcPr>
            <w:tcW w:type="dxa" w:w="5043"/>
            <w:shd w:fill="1F4E78"/>
            <w:tcMar>
              <w:top w:w="110" w:type="dxa"/>
              <w:start w:w="110" w:type="dxa"/>
              <w:bottom w:w="110" w:type="dxa"/>
              <w:end w:w="110" w:type="dxa"/>
            </w:tcMar>
            <w:vAlign w:val="center"/>
          </w:tcPr>
          <w:p>
            <w:r>
              <w:rPr>
                <w:b/>
                <w:color w:val="FFFFFF"/>
              </w:rPr>
              <w:t>Controlled-experiment logic</w:t>
            </w:r>
          </w:p>
        </w:tc>
        <w:tc>
          <w:tcPr>
            <w:tcW w:type="dxa" w:w="5043"/>
            <w:shd w:fill="EAF2F8"/>
            <w:tcMar>
              <w:top w:w="110" w:type="dxa"/>
              <w:start w:w="110" w:type="dxa"/>
              <w:bottom w:w="110" w:type="dxa"/>
              <w:end w:w="110" w:type="dxa"/>
            </w:tcMar>
            <w:vAlign w:val="center"/>
          </w:tcPr>
          <w:p>
            <w:r>
              <w:t>Same stratospheric source + meteorology that varies from year to year and decade to decade -&gt; changes in vertical transport, surface penetration, aerosol survival and deposition.</w:t>
            </w:r>
          </w:p>
        </w:tc>
      </w:tr>
    </w:tbl>
    <w:p>
      <w:pPr>
        <w:pStyle w:val="Heading1"/>
      </w:pPr>
      <w:r>
        <w:t>Project summary</w:t>
      </w:r>
    </w:p>
    <w:p>
      <w:r>
        <w:t>Stratosphere-to-troposphere transport controls the downward transfer of ozone, aerosols and radionuclides, but the amount of stratospheric material observed near the surface depends on two coupled processes: how efficiently material is transported downward and how efficiently it is removed during transport. Detecting long-term changes in these processes with real tracers is difficult because their sources may also vary. For cosmogenic ⁷Be, for example, production changes with solar modulation and geomagnetic conditions, while its atmospheric concentration is additionally affected by transport and scavenging.</w:t>
      </w:r>
    </w:p>
    <w:p>
      <w:r>
        <w:t>STRAT-TRACE will use a controlled numerical experiment in which the stratospheric tracer source is held constant through several decades of historical meteorology. The experiment will therefore ask a practical question: would an identical amount of stratospheric material have a different atmospheric fate under the meteorological conditions of the 1980s, 1990s, 2000s or 2010s–2020s? The response will be quantified not only in the upper troposphere but explicitly at the surface, using source-normalized surface concentrations, deep-intrusion diagnostics, aerosol survival fractions, and wet/dry deposition.</w:t>
      </w:r>
    </w:p>
    <w:p>
      <w:r>
        <w:t>The same tracer protocol will be implemented as consistently as possible in DEHM and GEOS-Chem. A transport-only PASSIVE tracer will diagnose downward delivery and mixing. An AEROSOL tracer with the same source and lifetime but with wet and dry deposition will diagnose atmospheric removal. Their difference and ratio will separate changes in transport supply from changes in removal efficiency. A common Lagrangian framework driven separately by ERA5 and MERRA-2 will diagnose pathways, tropopause crossings, descent time and boundary-layer entry. Real ⁷Be air concentrations and deposition will provide an independent observational constraint.</w:t>
      </w:r>
    </w:p>
    <w:p>
      <w:pPr>
        <w:pStyle w:val="Heading1"/>
      </w:pPr>
      <w:r>
        <w:t>1. Scientific rationale</w:t>
      </w:r>
    </w:p>
    <w:p>
      <w:pPr>
        <w:pStyle w:val="Heading2"/>
      </w:pPr>
      <w:r>
        <w:t>1.1 The problem is atmospheric fate, not meteorological trend description</w:t>
      </w:r>
    </w:p>
    <w:p>
      <w:r>
        <w:t>The project is not designed simply to document how precipitation, circulation or tropopause height have changed. Those variables can be analysed directly from reanalyses. Instead, meteorology is treated as the evolving forcing of a controlled tracer experiment. The scientific response variable is the fate of a fixed stratospheric signal.</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80" w:type="dxa"/>
              <w:start w:w="80" w:type="dxa"/>
              <w:bottom w:w="80" w:type="dxa"/>
              <w:end w:w="80" w:type="dxa"/>
            </w:tcMar>
          </w:tcPr>
          <w:p>
            <w:r>
              <w:rPr>
                <w:b/>
              </w:rPr>
              <w:t>Input</w:t>
            </w:r>
          </w:p>
        </w:tc>
        <w:tc>
          <w:tcPr>
            <w:tcW w:type="dxa" w:w="5043"/>
            <w:tcMar>
              <w:top w:w="80" w:type="dxa"/>
              <w:start w:w="80" w:type="dxa"/>
              <w:bottom w:w="80" w:type="dxa"/>
              <w:end w:w="80" w:type="dxa"/>
            </w:tcMar>
          </w:tcPr>
          <w:p>
            <w:r>
              <w:t>Constant stratospheric tracer source</w:t>
            </w:r>
          </w:p>
        </w:tc>
      </w:tr>
      <w:tr>
        <w:tc>
          <w:tcPr>
            <w:tcW w:type="dxa" w:w="5043"/>
            <w:shd w:fill="D9EAF7"/>
            <w:tcMar>
              <w:top w:w="80" w:type="dxa"/>
              <w:start w:w="80" w:type="dxa"/>
              <w:bottom w:w="80" w:type="dxa"/>
              <w:end w:w="80" w:type="dxa"/>
            </w:tcMar>
          </w:tcPr>
          <w:p>
            <w:r>
              <w:rPr>
                <w:b/>
              </w:rPr>
              <w:t>Forcing</w:t>
            </w:r>
          </w:p>
        </w:tc>
        <w:tc>
          <w:tcPr>
            <w:tcW w:type="dxa" w:w="5043"/>
            <w:tcMar>
              <w:top w:w="80" w:type="dxa"/>
              <w:start w:w="80" w:type="dxa"/>
              <w:bottom w:w="80" w:type="dxa"/>
              <w:end w:w="80" w:type="dxa"/>
            </w:tcMar>
          </w:tcPr>
          <w:p>
            <w:r>
              <w:t>Observed/reanalysis meteorology varying through time</w:t>
            </w:r>
          </w:p>
        </w:tc>
      </w:tr>
      <w:tr>
        <w:tc>
          <w:tcPr>
            <w:tcW w:type="dxa" w:w="5043"/>
            <w:shd w:fill="D9EAF7"/>
            <w:tcMar>
              <w:top w:w="80" w:type="dxa"/>
              <w:start w:w="80" w:type="dxa"/>
              <w:bottom w:w="80" w:type="dxa"/>
              <w:end w:w="80" w:type="dxa"/>
            </w:tcMar>
          </w:tcPr>
          <w:p>
            <w:r>
              <w:rPr>
                <w:b/>
              </w:rPr>
              <w:t>Transport response</w:t>
            </w:r>
          </w:p>
        </w:tc>
        <w:tc>
          <w:tcPr>
            <w:tcW w:type="dxa" w:w="5043"/>
            <w:tcMar>
              <w:top w:w="80" w:type="dxa"/>
              <w:start w:w="80" w:type="dxa"/>
              <w:bottom w:w="80" w:type="dxa"/>
              <w:end w:w="80" w:type="dxa"/>
            </w:tcMar>
          </w:tcPr>
          <w:p>
            <w:r>
              <w:t>Downward flux, profiles, intrusion frequency/depth, PBL entry</w:t>
            </w:r>
          </w:p>
        </w:tc>
      </w:tr>
      <w:tr>
        <w:tc>
          <w:tcPr>
            <w:tcW w:type="dxa" w:w="5043"/>
            <w:shd w:fill="D9EAF7"/>
            <w:tcMar>
              <w:top w:w="80" w:type="dxa"/>
              <w:start w:w="80" w:type="dxa"/>
              <w:bottom w:w="80" w:type="dxa"/>
              <w:end w:w="80" w:type="dxa"/>
            </w:tcMar>
          </w:tcPr>
          <w:p>
            <w:r>
              <w:rPr>
                <w:b/>
              </w:rPr>
              <w:t>Surface response</w:t>
            </w:r>
          </w:p>
        </w:tc>
        <w:tc>
          <w:tcPr>
            <w:tcW w:type="dxa" w:w="5043"/>
            <w:tcMar>
              <w:top w:w="80" w:type="dxa"/>
              <w:start w:w="80" w:type="dxa"/>
              <w:bottom w:w="80" w:type="dxa"/>
              <w:end w:w="80" w:type="dxa"/>
            </w:tcMar>
          </w:tcPr>
          <w:p>
            <w:r>
              <w:t>Source-normalized surface concentration and extreme-event concentration</w:t>
            </w:r>
          </w:p>
        </w:tc>
      </w:tr>
      <w:tr>
        <w:tc>
          <w:tcPr>
            <w:tcW w:type="dxa" w:w="5043"/>
            <w:shd w:fill="D9EAF7"/>
            <w:tcMar>
              <w:top w:w="80" w:type="dxa"/>
              <w:start w:w="80" w:type="dxa"/>
              <w:bottom w:w="80" w:type="dxa"/>
              <w:end w:w="80" w:type="dxa"/>
            </w:tcMar>
          </w:tcPr>
          <w:p>
            <w:r>
              <w:rPr>
                <w:b/>
              </w:rPr>
              <w:t>Removal response</w:t>
            </w:r>
          </w:p>
        </w:tc>
        <w:tc>
          <w:tcPr>
            <w:tcW w:type="dxa" w:w="5043"/>
            <w:tcMar>
              <w:top w:w="80" w:type="dxa"/>
              <w:start w:w="80" w:type="dxa"/>
              <w:bottom w:w="80" w:type="dxa"/>
              <w:end w:w="80" w:type="dxa"/>
            </w:tcMar>
          </w:tcPr>
          <w:p>
            <w:r>
              <w:t>Wet deposition, dry deposition, survival fraction and residence time</w:t>
            </w:r>
          </w:p>
        </w:tc>
      </w:tr>
    </w:tbl>
    <w:p>
      <w:pPr>
        <w:pStyle w:val="Heading2"/>
      </w:pPr>
      <w:r>
        <w:t>1.2 Why surface concentration is essential</w:t>
      </w:r>
    </w:p>
    <w:p>
      <w:r>
        <w:t>A change in stratospheric influence at the surface has direct physical meaning: it expresses how much of an identical upper-atmospheric signal reaches the lowest model layers after transport, dilution, mixing and removal. Studies using idealized stratospheric tracers have shown that deep events can deliver a measurable fraction of an imposed stratospheric signal to the surface. However, surface concentration alone is ambiguous because a higher value can result from stronger downward transport, weaker removal, or both. STRAT-TRACE therefore treats surface concentration and deposition as a coupled diagnostic pair.</w:t>
      </w:r>
    </w:p>
    <w:p>
      <w:pPr>
        <w:pStyle w:val="Heading2"/>
      </w:pPr>
      <w:r>
        <w:t>1.3 Why the paired tracer design is critical</w:t>
      </w:r>
    </w:p>
    <w:p>
      <w:r>
        <w:t>The core decomposition is:</w:t>
      </w:r>
    </w:p>
    <w:p>
      <w:pPr>
        <w:pStyle w:val="ListBullet"/>
      </w:pPr>
      <w:r>
        <w:t>PASSIVE tracer: identical controlled source, transported and mixed, but without wet/dry deposition -&gt; diagnoses atmospheric delivery.</w:t>
      </w:r>
    </w:p>
    <w:p>
      <w:pPr>
        <w:pStyle w:val="ListBullet"/>
      </w:pPr>
      <w:r>
        <w:t>AEROSOL tracer: identical source and prescribed lifetime, but with wet/dry deposition -&gt; diagnoses delivery after atmospheric removal.</w:t>
      </w:r>
    </w:p>
    <w:p>
      <w:pPr>
        <w:pStyle w:val="ListBullet"/>
      </w:pPr>
      <w:r>
        <w:t>The contrast AEROSOL versus PASSIVE -&gt; diagnoses the effect of removal on the material that would otherwise be transported to the surface.</w:t>
      </w:r>
    </w:p>
    <w:p>
      <w:r>
        <w:t>The design produces three complementary practical metrics:</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1F4E78"/>
          </w:tcPr>
          <w:p>
            <w:r>
              <w:rPr>
                <w:b/>
                <w:color w:val="FFFFFF"/>
              </w:rPr>
              <w:t>Metric</w:t>
            </w:r>
          </w:p>
        </w:tc>
        <w:tc>
          <w:tcPr>
            <w:tcW w:type="dxa" w:w="3362"/>
            <w:shd w:fill="1F4E78"/>
          </w:tcPr>
          <w:p>
            <w:r>
              <w:rPr>
                <w:b/>
                <w:color w:val="FFFFFF"/>
              </w:rPr>
              <w:t>Example definition</w:t>
            </w:r>
          </w:p>
        </w:tc>
        <w:tc>
          <w:tcPr>
            <w:tcW w:type="dxa" w:w="3362"/>
            <w:shd w:fill="1F4E78"/>
          </w:tcPr>
          <w:p>
            <w:r>
              <w:rPr>
                <w:b/>
                <w:color w:val="FFFFFF"/>
              </w:rPr>
              <w:t>Physical meaning</w:t>
            </w:r>
          </w:p>
        </w:tc>
      </w:tr>
      <w:tr>
        <w:tc>
          <w:tcPr>
            <w:tcW w:type="dxa" w:w="3362"/>
            <w:tcMar>
              <w:top w:w="80" w:type="dxa"/>
              <w:start w:w="80" w:type="dxa"/>
              <w:bottom w:w="80" w:type="dxa"/>
              <w:end w:w="80" w:type="dxa"/>
            </w:tcMar>
            <w:vAlign w:val="top"/>
          </w:tcPr>
          <w:p>
            <w:r>
              <w:t>Surface penetration</w:t>
            </w:r>
          </w:p>
        </w:tc>
        <w:tc>
          <w:tcPr>
            <w:tcW w:type="dxa" w:w="3362"/>
            <w:tcMar>
              <w:top w:w="80" w:type="dxa"/>
              <w:start w:w="80" w:type="dxa"/>
              <w:bottom w:w="80" w:type="dxa"/>
              <w:end w:w="80" w:type="dxa"/>
            </w:tcMar>
            <w:vAlign w:val="top"/>
          </w:tcPr>
          <w:p>
            <w:r>
              <w:t>C_PASSIVE,surface / C_source</w:t>
            </w:r>
          </w:p>
        </w:tc>
        <w:tc>
          <w:tcPr>
            <w:tcW w:type="dxa" w:w="3362"/>
            <w:tcMar>
              <w:top w:w="80" w:type="dxa"/>
              <w:start w:w="80" w:type="dxa"/>
              <w:bottom w:w="80" w:type="dxa"/>
              <w:end w:w="80" w:type="dxa"/>
            </w:tcMar>
            <w:vAlign w:val="top"/>
          </w:tcPr>
          <w:p>
            <w:r>
              <w:t>Fractional strength of stratospheric delivery to the surface</w:t>
            </w:r>
          </w:p>
        </w:tc>
      </w:tr>
      <w:tr>
        <w:tc>
          <w:tcPr>
            <w:tcW w:type="dxa" w:w="3362"/>
            <w:tcMar>
              <w:top w:w="80" w:type="dxa"/>
              <w:start w:w="80" w:type="dxa"/>
              <w:bottom w:w="80" w:type="dxa"/>
              <w:end w:w="80" w:type="dxa"/>
            </w:tcMar>
            <w:vAlign w:val="top"/>
          </w:tcPr>
          <w:p>
            <w:r>
              <w:t>Surface survival</w:t>
            </w:r>
          </w:p>
        </w:tc>
        <w:tc>
          <w:tcPr>
            <w:tcW w:type="dxa" w:w="3362"/>
            <w:tcMar>
              <w:top w:w="80" w:type="dxa"/>
              <w:start w:w="80" w:type="dxa"/>
              <w:bottom w:w="80" w:type="dxa"/>
              <w:end w:w="80" w:type="dxa"/>
            </w:tcMar>
            <w:vAlign w:val="top"/>
          </w:tcPr>
          <w:p>
            <w:r>
              <w:t>C_AEROSOL,surface / C_PASSIVE,surface</w:t>
            </w:r>
          </w:p>
        </w:tc>
        <w:tc>
          <w:tcPr>
            <w:tcW w:type="dxa" w:w="3362"/>
            <w:tcMar>
              <w:top w:w="80" w:type="dxa"/>
              <w:start w:w="80" w:type="dxa"/>
              <w:bottom w:w="80" w:type="dxa"/>
              <w:end w:w="80" w:type="dxa"/>
            </w:tcMar>
            <w:vAlign w:val="top"/>
          </w:tcPr>
          <w:p>
            <w:r>
              <w:t>Fraction of the transported signal that survives deposition/removal</w:t>
            </w:r>
          </w:p>
        </w:tc>
      </w:tr>
      <w:tr>
        <w:tc>
          <w:tcPr>
            <w:tcW w:type="dxa" w:w="3362"/>
            <w:tcMar>
              <w:top w:w="80" w:type="dxa"/>
              <w:start w:w="80" w:type="dxa"/>
              <w:bottom w:w="80" w:type="dxa"/>
              <w:end w:w="80" w:type="dxa"/>
            </w:tcMar>
            <w:vAlign w:val="top"/>
          </w:tcPr>
          <w:p>
            <w:r>
              <w:t>Removal efficiency</w:t>
            </w:r>
          </w:p>
        </w:tc>
        <w:tc>
          <w:tcPr>
            <w:tcW w:type="dxa" w:w="3362"/>
            <w:tcMar>
              <w:top w:w="80" w:type="dxa"/>
              <w:start w:w="80" w:type="dxa"/>
              <w:bottom w:w="80" w:type="dxa"/>
              <w:end w:w="80" w:type="dxa"/>
            </w:tcMar>
            <w:vAlign w:val="top"/>
          </w:tcPr>
          <w:p>
            <w:r>
              <w:t>WetDep/source and DryDep/source, complemented by burden/lifetime</w:t>
            </w:r>
          </w:p>
        </w:tc>
        <w:tc>
          <w:tcPr>
            <w:tcW w:type="dxa" w:w="3362"/>
            <w:tcMar>
              <w:top w:w="80" w:type="dxa"/>
              <w:start w:w="80" w:type="dxa"/>
              <w:bottom w:w="80" w:type="dxa"/>
              <w:end w:w="80" w:type="dxa"/>
            </w:tcMar>
            <w:vAlign w:val="top"/>
          </w:tcPr>
          <w:p>
            <w:r>
              <w:t>How efficiently meteorological conditions remove the imposed material</w:t>
            </w:r>
          </w:p>
        </w:tc>
      </w:tr>
    </w:tbl>
    <w:p>
      <w:pPr>
        <w:pStyle w:val="Heading1"/>
      </w:pPr>
      <w:r>
        <w:t>2. Hypothesis and objectives</w:t>
      </w:r>
    </w:p>
    <w:p>
      <w:pPr>
        <w:pStyle w:val="Heading2"/>
      </w:pPr>
      <w:r>
        <w:t>2.1 Central hypothesis</w:t>
      </w:r>
    </w:p>
    <w:p>
      <w:r>
        <w:rPr>
          <w:b/>
        </w:rPr>
        <w:t>For an invariant stratospheric source, systematic multidecadal changes in surface penetration, surface survival and deposition reflect changes in the atmospheric transport–removal system; signals reproduced across independent models/reanalyses are more likely to represent robust atmospheric change than model-specific behaviour.</w:t>
      </w:r>
    </w:p>
    <w:p>
      <w:pPr>
        <w:pStyle w:val="Heading2"/>
      </w:pPr>
      <w:r>
        <w:t>2.2 Specific objectives</w:t>
      </w:r>
    </w:p>
    <w:p>
      <w:r>
        <w:rPr>
          <w:b/>
        </w:rPr>
        <w:t xml:space="preserve">O1 — Quantify downward delivery to the surface: </w:t>
      </w:r>
      <w:r>
        <w:t>Determine whether the amount of a constant stratospheric signal reaching the lower troposphere and surface has changed over recent decades, including changes in seasonal mean concentration, event maxima, intrusion frequency, duration and penetration depth.</w:t>
      </w:r>
    </w:p>
    <w:p>
      <w:r>
        <w:rPr>
          <w:b/>
        </w:rPr>
        <w:t xml:space="preserve">O2 — Quantify meteorology-dependent survival and removal: </w:t>
      </w:r>
      <w:r>
        <w:t>Determine whether the same downward signal is removed more or less efficiently through wet and dry deposition, and identify whether changes are associated with precipitation frequency, intensity, cloud processing or other meteorological factors.</w:t>
      </w:r>
    </w:p>
    <w:p>
      <w:r>
        <w:rPr>
          <w:b/>
        </w:rPr>
        <w:t xml:space="preserve">O3 — Separate transport from removal: </w:t>
      </w:r>
      <w:r>
        <w:t>Use paired PASSIVE and AEROSOL tracers to distinguish increased surface concentration caused by stronger downward transport from increased concentration caused by reduced removal.</w:t>
      </w:r>
    </w:p>
    <w:p>
      <w:r>
        <w:rPr>
          <w:b/>
        </w:rPr>
        <w:t xml:space="preserve">O4 — Quantify robustness and uncertainty: </w:t>
      </w:r>
      <w:r>
        <w:t>Assess how sensitive the diagnosed changes are to model structure (DEHM versus GEOS-Chem), meteorological forcing/reanalysis and tracer source/lifetime definition.</w:t>
      </w:r>
    </w:p>
    <w:p>
      <w:r>
        <w:rPr>
          <w:b/>
        </w:rPr>
        <w:t xml:space="preserve">O5 — Constrain the interpretation with ⁷Be: </w:t>
      </w:r>
      <w:r>
        <w:t>Evaluate whether real ⁷Be surface concentrations and deposition fluxes show behaviour consistent with the mechanisms identified by the idealized experiments, while explicitly accounting for variable cosmogenic production.</w:t>
      </w:r>
    </w:p>
    <w:p>
      <w:pPr>
        <w:pStyle w:val="Heading1"/>
      </w:pPr>
      <w:r>
        <w:t>3. Methodological design</w:t>
      </w:r>
    </w:p>
    <w:p>
      <w:pPr>
        <w:pStyle w:val="Heading2"/>
      </w:pPr>
      <w:r>
        <w:t>3.1 Controlled tracer source</w:t>
      </w:r>
    </w:p>
    <w:p>
      <w:r>
        <w:t>The tracer source will be time invariant and confined to the model upper boundary/lower stratospheric reservoir, with no lower-atmospheric emissions. A continuously forced fully conservative tracer will not be the only diagnostic because it would progressively fill the atmosphere and lose sensitivity to episodic transport. The benchmark will therefore use a controlled source–sink tracer with one or more prescribed tropospheric lifetimes. Short, intermediate and longer lifetimes can sample rapid intrusion pathways and slower background descent.</w:t>
      </w:r>
    </w:p>
    <w:p>
      <w:r>
        <w:t>Because the DEHM model top is near 100 hPa, source definition requires a dedicated sensitivity analysis. A fixed pressure/top-boundary source may move relative to the dynamical tropopause over decades. The project will therefore test whether the diagnosed surface and deposition changes are stable to reasonable source definitions, including a fixed common source formulation and a tropopause-relative diagnostic/mask where technically feasible.</w:t>
      </w:r>
    </w:p>
    <w:p>
      <w:pPr>
        <w:pStyle w:val="Heading2"/>
      </w:pPr>
      <w:r>
        <w:t>3.2 Core experiments</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1F4E78"/>
          </w:tcPr>
          <w:p>
            <w:r>
              <w:rPr>
                <w:b/>
                <w:color w:val="FFFFFF"/>
              </w:rPr>
              <w:t>Experiment</w:t>
            </w:r>
          </w:p>
        </w:tc>
        <w:tc>
          <w:tcPr>
            <w:tcW w:type="dxa" w:w="2017"/>
            <w:shd w:fill="1F4E78"/>
          </w:tcPr>
          <w:p>
            <w:r>
              <w:rPr>
                <w:b/>
                <w:color w:val="FFFFFF"/>
              </w:rPr>
              <w:t>Tracer/processes</w:t>
            </w:r>
          </w:p>
        </w:tc>
        <w:tc>
          <w:tcPr>
            <w:tcW w:type="dxa" w:w="2017"/>
            <w:shd w:fill="1F4E78"/>
          </w:tcPr>
          <w:p>
            <w:r>
              <w:rPr>
                <w:b/>
                <w:color w:val="FFFFFF"/>
              </w:rPr>
              <w:t>Primary outputs</w:t>
            </w:r>
          </w:p>
        </w:tc>
        <w:tc>
          <w:tcPr>
            <w:tcW w:type="dxa" w:w="2017"/>
            <w:shd w:fill="1F4E78"/>
          </w:tcPr>
          <w:p>
            <w:r>
              <w:rPr>
                <w:b/>
                <w:color w:val="FFFFFF"/>
              </w:rPr>
              <w:t>Question answered</w:t>
            </w:r>
          </w:p>
        </w:tc>
        <w:tc>
          <w:tcPr>
            <w:tcW w:type="dxa" w:w="2017"/>
            <w:shd w:fill="1F4E78"/>
          </w:tcPr>
          <w:p>
            <w:r>
              <w:rPr>
                <w:b/>
                <w:color w:val="FFFFFF"/>
              </w:rPr>
              <w:t>Status</w:t>
            </w:r>
          </w:p>
        </w:tc>
      </w:tr>
      <w:tr>
        <w:tc>
          <w:tcPr>
            <w:tcW w:type="dxa" w:w="2017"/>
            <w:tcMar>
              <w:top w:w="60" w:type="dxa"/>
              <w:start w:w="60" w:type="dxa"/>
              <w:bottom w:w="60" w:type="dxa"/>
              <w:end w:w="60" w:type="dxa"/>
            </w:tcMar>
            <w:vAlign w:val="top"/>
          </w:tcPr>
          <w:p>
            <w:r>
              <w:t>T1 PASSIVE</w:t>
            </w:r>
          </w:p>
        </w:tc>
        <w:tc>
          <w:tcPr>
            <w:tcW w:type="dxa" w:w="2017"/>
            <w:tcMar>
              <w:top w:w="60" w:type="dxa"/>
              <w:start w:w="60" w:type="dxa"/>
              <w:bottom w:w="60" w:type="dxa"/>
              <w:end w:w="60" w:type="dxa"/>
            </w:tcMar>
            <w:vAlign w:val="top"/>
          </w:tcPr>
          <w:p>
            <w:r>
              <w:t>Controlled upper source; no wet/dry deposition</w:t>
            </w:r>
          </w:p>
        </w:tc>
        <w:tc>
          <w:tcPr>
            <w:tcW w:type="dxa" w:w="2017"/>
            <w:tcMar>
              <w:top w:w="60" w:type="dxa"/>
              <w:start w:w="60" w:type="dxa"/>
              <w:bottom w:w="60" w:type="dxa"/>
              <w:end w:w="60" w:type="dxa"/>
            </w:tcMar>
            <w:vAlign w:val="top"/>
          </w:tcPr>
          <w:p>
            <w:r>
              <w:t>Profiles, C_surface, deep-intrusion metrics</w:t>
            </w:r>
          </w:p>
        </w:tc>
        <w:tc>
          <w:tcPr>
            <w:tcW w:type="dxa" w:w="2017"/>
            <w:tcMar>
              <w:top w:w="60" w:type="dxa"/>
              <w:start w:w="60" w:type="dxa"/>
              <w:bottom w:w="60" w:type="dxa"/>
              <w:end w:w="60" w:type="dxa"/>
            </w:tcMar>
            <w:vAlign w:val="top"/>
          </w:tcPr>
          <w:p>
            <w:r>
              <w:t>Has delivery from stratosphere to surface changed?</w:t>
            </w:r>
          </w:p>
        </w:tc>
        <w:tc>
          <w:tcPr>
            <w:tcW w:type="dxa" w:w="2017"/>
            <w:tcMar>
              <w:top w:w="60" w:type="dxa"/>
              <w:start w:w="60" w:type="dxa"/>
              <w:bottom w:w="60" w:type="dxa"/>
              <w:end w:w="60" w:type="dxa"/>
            </w:tcMar>
            <w:vAlign w:val="top"/>
          </w:tcPr>
          <w:p>
            <w:r>
              <w:t>Core</w:t>
            </w:r>
          </w:p>
        </w:tc>
      </w:tr>
      <w:tr>
        <w:tc>
          <w:tcPr>
            <w:tcW w:type="dxa" w:w="2017"/>
            <w:tcMar>
              <w:top w:w="60" w:type="dxa"/>
              <w:start w:w="60" w:type="dxa"/>
              <w:bottom w:w="60" w:type="dxa"/>
              <w:end w:w="60" w:type="dxa"/>
            </w:tcMar>
            <w:vAlign w:val="top"/>
          </w:tcPr>
          <w:p>
            <w:r>
              <w:t>T2 AEROSOL</w:t>
            </w:r>
          </w:p>
        </w:tc>
        <w:tc>
          <w:tcPr>
            <w:tcW w:type="dxa" w:w="2017"/>
            <w:tcMar>
              <w:top w:w="60" w:type="dxa"/>
              <w:start w:w="60" w:type="dxa"/>
              <w:bottom w:w="60" w:type="dxa"/>
              <w:end w:w="60" w:type="dxa"/>
            </w:tcMar>
            <w:vAlign w:val="top"/>
          </w:tcPr>
          <w:p>
            <w:r>
              <w:t>Same source/lifetime; wet + dry deposition active</w:t>
            </w:r>
          </w:p>
        </w:tc>
        <w:tc>
          <w:tcPr>
            <w:tcW w:type="dxa" w:w="2017"/>
            <w:tcMar>
              <w:top w:w="60" w:type="dxa"/>
              <w:start w:w="60" w:type="dxa"/>
              <w:bottom w:w="60" w:type="dxa"/>
              <w:end w:w="60" w:type="dxa"/>
            </w:tcMar>
            <w:vAlign w:val="top"/>
          </w:tcPr>
          <w:p>
            <w:r>
              <w:t>C_surface, wet/dry dep, burden, lifetime</w:t>
            </w:r>
          </w:p>
        </w:tc>
        <w:tc>
          <w:tcPr>
            <w:tcW w:type="dxa" w:w="2017"/>
            <w:tcMar>
              <w:top w:w="60" w:type="dxa"/>
              <w:start w:w="60" w:type="dxa"/>
              <w:bottom w:w="60" w:type="dxa"/>
              <w:end w:w="60" w:type="dxa"/>
            </w:tcMar>
            <w:vAlign w:val="top"/>
          </w:tcPr>
          <w:p>
            <w:r>
              <w:t>Has survival/removal changed?</w:t>
            </w:r>
          </w:p>
        </w:tc>
        <w:tc>
          <w:tcPr>
            <w:tcW w:type="dxa" w:w="2017"/>
            <w:tcMar>
              <w:top w:w="60" w:type="dxa"/>
              <w:start w:w="60" w:type="dxa"/>
              <w:bottom w:w="60" w:type="dxa"/>
              <w:end w:w="60" w:type="dxa"/>
            </w:tcMar>
            <w:vAlign w:val="top"/>
          </w:tcPr>
          <w:p>
            <w:r>
              <w:t>Core</w:t>
            </w:r>
          </w:p>
        </w:tc>
      </w:tr>
      <w:tr>
        <w:tc>
          <w:tcPr>
            <w:tcW w:type="dxa" w:w="2017"/>
            <w:tcMar>
              <w:top w:w="60" w:type="dxa"/>
              <w:start w:w="60" w:type="dxa"/>
              <w:bottom w:w="60" w:type="dxa"/>
              <w:end w:w="60" w:type="dxa"/>
            </w:tcMar>
            <w:vAlign w:val="top"/>
          </w:tcPr>
          <w:p>
            <w:r>
              <w:t>T3 removal decomposition</w:t>
            </w:r>
          </w:p>
        </w:tc>
        <w:tc>
          <w:tcPr>
            <w:tcW w:type="dxa" w:w="2017"/>
            <w:tcMar>
              <w:top w:w="60" w:type="dxa"/>
              <w:start w:w="60" w:type="dxa"/>
              <w:bottom w:w="60" w:type="dxa"/>
              <w:end w:w="60" w:type="dxa"/>
            </w:tcMar>
            <w:vAlign w:val="top"/>
          </w:tcPr>
          <w:p>
            <w:r>
              <w:t>Derived comparison T2/T1</w:t>
            </w:r>
          </w:p>
        </w:tc>
        <w:tc>
          <w:tcPr>
            <w:tcW w:type="dxa" w:w="2017"/>
            <w:tcMar>
              <w:top w:w="60" w:type="dxa"/>
              <w:start w:w="60" w:type="dxa"/>
              <w:bottom w:w="60" w:type="dxa"/>
              <w:end w:w="60" w:type="dxa"/>
            </w:tcMar>
            <w:vAlign w:val="top"/>
          </w:tcPr>
          <w:p>
            <w:r>
              <w:t>C_AEROSOL/C_PASSIVE; deposition/source</w:t>
            </w:r>
          </w:p>
        </w:tc>
        <w:tc>
          <w:tcPr>
            <w:tcW w:type="dxa" w:w="2017"/>
            <w:tcMar>
              <w:top w:w="60" w:type="dxa"/>
              <w:start w:w="60" w:type="dxa"/>
              <w:bottom w:w="60" w:type="dxa"/>
              <w:end w:w="60" w:type="dxa"/>
            </w:tcMar>
            <w:vAlign w:val="top"/>
          </w:tcPr>
          <w:p>
            <w:r>
              <w:t>Is a surface change driven by transport or removal?</w:t>
            </w:r>
          </w:p>
        </w:tc>
        <w:tc>
          <w:tcPr>
            <w:tcW w:type="dxa" w:w="2017"/>
            <w:tcMar>
              <w:top w:w="60" w:type="dxa"/>
              <w:start w:w="60" w:type="dxa"/>
              <w:bottom w:w="60" w:type="dxa"/>
              <w:end w:w="60" w:type="dxa"/>
            </w:tcMar>
            <w:vAlign w:val="top"/>
          </w:tcPr>
          <w:p>
            <w:r>
              <w:t>Core</w:t>
            </w:r>
          </w:p>
        </w:tc>
      </w:tr>
      <w:tr>
        <w:tc>
          <w:tcPr>
            <w:tcW w:type="dxa" w:w="2017"/>
            <w:tcMar>
              <w:top w:w="60" w:type="dxa"/>
              <w:start w:w="60" w:type="dxa"/>
              <w:bottom w:w="60" w:type="dxa"/>
              <w:end w:w="60" w:type="dxa"/>
            </w:tcMar>
            <w:vAlign w:val="top"/>
          </w:tcPr>
          <w:p>
            <w:r>
              <w:t>M1 forcing sensitivity</w:t>
            </w:r>
          </w:p>
        </w:tc>
        <w:tc>
          <w:tcPr>
            <w:tcW w:type="dxa" w:w="2017"/>
            <w:tcMar>
              <w:top w:w="60" w:type="dxa"/>
              <w:start w:w="60" w:type="dxa"/>
              <w:bottom w:w="60" w:type="dxa"/>
              <w:end w:w="60" w:type="dxa"/>
            </w:tcMar>
            <w:vAlign w:val="top"/>
          </w:tcPr>
          <w:p>
            <w:r>
              <w:t>DEHM with WRF/ERA5 versus WRF/MERRA-2 if feasible</w:t>
            </w:r>
          </w:p>
        </w:tc>
        <w:tc>
          <w:tcPr>
            <w:tcW w:type="dxa" w:w="2017"/>
            <w:tcMar>
              <w:top w:w="60" w:type="dxa"/>
              <w:start w:w="60" w:type="dxa"/>
              <w:bottom w:w="60" w:type="dxa"/>
              <w:end w:w="60" w:type="dxa"/>
            </w:tcMar>
            <w:vAlign w:val="top"/>
          </w:tcPr>
          <w:p>
            <w:r>
              <w:t>Same tracer metrics</w:t>
            </w:r>
          </w:p>
        </w:tc>
        <w:tc>
          <w:tcPr>
            <w:tcW w:type="dxa" w:w="2017"/>
            <w:tcMar>
              <w:top w:w="60" w:type="dxa"/>
              <w:start w:w="60" w:type="dxa"/>
              <w:bottom w:w="60" w:type="dxa"/>
              <w:end w:w="60" w:type="dxa"/>
            </w:tcMar>
            <w:vAlign w:val="top"/>
          </w:tcPr>
          <w:p>
            <w:r>
              <w:t>How much depends on meteorological forcing?</w:t>
            </w:r>
          </w:p>
        </w:tc>
        <w:tc>
          <w:tcPr>
            <w:tcW w:type="dxa" w:w="2017"/>
            <w:tcMar>
              <w:top w:w="60" w:type="dxa"/>
              <w:start w:w="60" w:type="dxa"/>
              <w:bottom w:w="60" w:type="dxa"/>
              <w:end w:w="60" w:type="dxa"/>
            </w:tcMar>
            <w:vAlign w:val="top"/>
          </w:tcPr>
          <w:p>
            <w:r>
              <w:t>High priority</w:t>
            </w:r>
          </w:p>
        </w:tc>
      </w:tr>
      <w:tr>
        <w:tc>
          <w:tcPr>
            <w:tcW w:type="dxa" w:w="2017"/>
            <w:tcMar>
              <w:top w:w="60" w:type="dxa"/>
              <w:start w:w="60" w:type="dxa"/>
              <w:bottom w:w="60" w:type="dxa"/>
              <w:end w:w="60" w:type="dxa"/>
            </w:tcMar>
            <w:vAlign w:val="top"/>
          </w:tcPr>
          <w:p>
            <w:r>
              <w:t>M2 cross-forcing</w:t>
            </w:r>
          </w:p>
        </w:tc>
        <w:tc>
          <w:tcPr>
            <w:tcW w:type="dxa" w:w="2017"/>
            <w:tcMar>
              <w:top w:w="60" w:type="dxa"/>
              <w:start w:w="60" w:type="dxa"/>
              <w:bottom w:w="60" w:type="dxa"/>
              <w:end w:w="60" w:type="dxa"/>
            </w:tcMar>
            <w:vAlign w:val="top"/>
          </w:tcPr>
          <w:p>
            <w:r>
              <w:t>GEOS-Chem + ERA5 only if technically robust</w:t>
            </w:r>
          </w:p>
        </w:tc>
        <w:tc>
          <w:tcPr>
            <w:tcW w:type="dxa" w:w="2017"/>
            <w:tcMar>
              <w:top w:w="60" w:type="dxa"/>
              <w:start w:w="60" w:type="dxa"/>
              <w:bottom w:w="60" w:type="dxa"/>
              <w:end w:w="60" w:type="dxa"/>
            </w:tcMar>
            <w:vAlign w:val="top"/>
          </w:tcPr>
          <w:p>
            <w:r>
              <w:t>Same metrics</w:t>
            </w:r>
          </w:p>
        </w:tc>
        <w:tc>
          <w:tcPr>
            <w:tcW w:type="dxa" w:w="2017"/>
            <w:tcMar>
              <w:top w:w="60" w:type="dxa"/>
              <w:start w:w="60" w:type="dxa"/>
              <w:bottom w:w="60" w:type="dxa"/>
              <w:end w:w="60" w:type="dxa"/>
            </w:tcMar>
            <w:vAlign w:val="top"/>
          </w:tcPr>
          <w:p>
            <w:r>
              <w:t>Can the model × forcing attribution be completed?</w:t>
            </w:r>
          </w:p>
        </w:tc>
        <w:tc>
          <w:tcPr>
            <w:tcW w:type="dxa" w:w="2017"/>
            <w:tcMar>
              <w:top w:w="60" w:type="dxa"/>
              <w:start w:w="60" w:type="dxa"/>
              <w:bottom w:w="60" w:type="dxa"/>
              <w:end w:w="60" w:type="dxa"/>
            </w:tcMar>
            <w:vAlign w:val="top"/>
          </w:tcPr>
          <w:p>
            <w:r>
              <w:t>Optional/high risk</w:t>
            </w:r>
          </w:p>
        </w:tc>
      </w:tr>
    </w:tbl>
    <w:p>
      <w:pPr>
        <w:pStyle w:val="Heading2"/>
      </w:pPr>
      <w:r>
        <w:t>3.3 Models and attribution logic</w:t>
      </w:r>
    </w:p>
    <w:p>
      <w:r>
        <w:t>DEHM and GEOS-Chem are used primarily to test robustness and structural uncertainty, not because their raw difference can be attributed uniquely to one physical process. Published model comparisons show that transport can differ even when large-scale meteorological fields are shared, because convection, mixing, advection numerics and boundary-layer schemes remain model dependent. Accordingly, the project will distinguish three levels of evidence: (1) within-model forcing sensitivity where feasible; (2) cross-model robustness under each model’s standard meteorology; and (3) a common Lagrangian meteorological comparison.</w:t>
      </w:r>
    </w:p>
    <w:p>
      <w:pPr>
        <w:pStyle w:val="Heading2"/>
      </w:pPr>
      <w:r>
        <w:t>3.4 Lagrangian diagnosis of surface-reaching events</w:t>
      </w:r>
    </w:p>
    <w:p>
      <w:r>
        <w:t>A single trajectory or particle-dispersion method will be driven separately with ERA5 and MERRA-2. For tracer-identified surface events, it will diagnose source region, potential vorticity, tropopause crossing, minimum pressure/maximum altitude, descent time, time spent below the tropopause, and entry into the planetary boundary layer. This step is especially important because the final delivery from the free troposphere to the surface can depend on boundary-layer turbulence even after a stratospheric intrusion has reached low pressure levels.</w:t>
      </w:r>
    </w:p>
    <w:p>
      <w:pPr>
        <w:pStyle w:val="Heading2"/>
      </w:pPr>
      <w:r>
        <w:t>3.5 Removal diagnostics and meteorological drivers</w:t>
      </w:r>
    </w:p>
    <w:p>
      <w:r>
        <w:t>The aerosol-like experiment will analyse removal in terms of both integrated deposition and efficiency. Candidate diagnostics include:</w:t>
      </w:r>
    </w:p>
    <w:p>
      <w:pPr>
        <w:pStyle w:val="ListBullet"/>
      </w:pPr>
      <w:r>
        <w:t>wet deposition normalized by imposed source or atmospheric burden;</w:t>
      </w:r>
    </w:p>
    <w:p>
      <w:pPr>
        <w:pStyle w:val="ListBullet"/>
      </w:pPr>
      <w:r>
        <w:t>dry deposition normalized by source or burden;</w:t>
      </w:r>
    </w:p>
    <w:p>
      <w:pPr>
        <w:pStyle w:val="ListBullet"/>
      </w:pPr>
      <w:r>
        <w:t>AEROSOL/PASSIVE surface concentration ratio;</w:t>
      </w:r>
    </w:p>
    <w:p>
      <w:pPr>
        <w:pStyle w:val="ListBullet"/>
      </w:pPr>
      <w:r>
        <w:t>wet-removal lifetime and survival from upper source to surface;</w:t>
      </w:r>
    </w:p>
    <w:p>
      <w:pPr>
        <w:pStyle w:val="ListBullet"/>
      </w:pPr>
      <w:r>
        <w:t>precipitation frequency, intensity and duration rather than total precipitation alone;</w:t>
      </w:r>
    </w:p>
    <w:p>
      <w:pPr>
        <w:pStyle w:val="ListBullet"/>
      </w:pPr>
      <w:r>
        <w:t>convective versus large-scale precipitation where model output allows;</w:t>
      </w:r>
    </w:p>
    <w:p>
      <w:pPr>
        <w:pStyle w:val="ListBullet"/>
      </w:pPr>
      <w:r>
        <w:t>cloud-water/cloud-ice indicators and seasonal precipitation regime.</w:t>
      </w:r>
    </w:p>
    <w:p>
      <w:pPr>
        <w:pStyle w:val="Heading2"/>
      </w:pPr>
      <w:r>
        <w:t>3.6 Multidecadal analysis</w:t>
      </w:r>
    </w:p>
    <w:p>
      <w:r>
        <w:t>The target period will be the longest technically consistent common period in the reanalysis era, nominally approximately 1980–2025. The project will first describe interannual and decadal variability and only then test long-term trends. Robust slopes, autocorrelation-aware significance tests, moving windows, change-point diagnostics and regressions including major modes such as QBO, ENSO and NAO will be used where appropriate. The proposal will avoid calling a simulated tendency a climate-change signal unless it is robust to the predefined uncertainty tests and supported by independent evidence.</w:t>
      </w:r>
    </w:p>
    <w:p>
      <w:pPr>
        <w:pStyle w:val="Heading2"/>
      </w:pPr>
      <w:r>
        <w:t>3.7 ⁷Be observational constraint</w:t>
      </w:r>
    </w:p>
    <w:p>
      <w:r>
        <w:t>⁷Be provides the real-world aerosol tracer against which the controlled experiment can be tested. Surface activity concentrations constrain the combined outcome of production, transport and removal; deposition fluxes add a direct constraint on scavenging. The analysis will therefore use both observables together. The controlled tracer answers what meteorology does to an invariant source, whereas real ⁷Be tests whether the model’s transport/removal response is physically credible. Production variability will be modelled or normalized rather than ignored.</w:t>
      </w:r>
    </w:p>
    <w:p>
      <w:pPr>
        <w:pStyle w:val="Heading1"/>
      </w:pPr>
      <w:r>
        <w:t>4. How the results will be interpreted</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1F4E78"/>
          </w:tcPr>
          <w:p>
            <w:r>
              <w:rPr>
                <w:b/>
                <w:color w:val="FFFFFF"/>
              </w:rPr>
              <w:t>PASSIVE surface</w:t>
            </w:r>
          </w:p>
        </w:tc>
        <w:tc>
          <w:tcPr>
            <w:tcW w:type="dxa" w:w="2521"/>
            <w:shd w:fill="1F4E78"/>
          </w:tcPr>
          <w:p>
            <w:r>
              <w:rPr>
                <w:b/>
                <w:color w:val="FFFFFF"/>
              </w:rPr>
              <w:t>AEROSOL surface</w:t>
            </w:r>
          </w:p>
        </w:tc>
        <w:tc>
          <w:tcPr>
            <w:tcW w:type="dxa" w:w="2521"/>
            <w:shd w:fill="1F4E78"/>
          </w:tcPr>
          <w:p>
            <w:r>
              <w:rPr>
                <w:b/>
                <w:color w:val="FFFFFF"/>
              </w:rPr>
              <w:t>Deposition</w:t>
            </w:r>
          </w:p>
        </w:tc>
        <w:tc>
          <w:tcPr>
            <w:tcW w:type="dxa" w:w="2521"/>
            <w:shd w:fill="1F4E78"/>
          </w:tcPr>
          <w:p>
            <w:r>
              <w:rPr>
                <w:b/>
                <w:color w:val="FFFFFF"/>
              </w:rPr>
              <w:t>Primary interpretation</w:t>
            </w:r>
          </w:p>
        </w:tc>
      </w:tr>
      <w:tr>
        <w:tc>
          <w:tcPr>
            <w:tcW w:type="dxa" w:w="2521"/>
            <w:tcMar>
              <w:top w:w="60" w:type="dxa"/>
              <w:start w:w="60" w:type="dxa"/>
              <w:bottom w:w="60" w:type="dxa"/>
              <w:end w:w="60" w:type="dxa"/>
            </w:tcMar>
          </w:tcPr>
          <w:p>
            <w:r>
              <w:t>Increases</w:t>
            </w:r>
          </w:p>
        </w:tc>
        <w:tc>
          <w:tcPr>
            <w:tcW w:type="dxa" w:w="2521"/>
            <w:tcMar>
              <w:top w:w="60" w:type="dxa"/>
              <w:start w:w="60" w:type="dxa"/>
              <w:bottom w:w="60" w:type="dxa"/>
              <w:end w:w="60" w:type="dxa"/>
            </w:tcMar>
          </w:tcPr>
          <w:p>
            <w:r>
              <w:t>Increases similarly</w:t>
            </w:r>
          </w:p>
        </w:tc>
        <w:tc>
          <w:tcPr>
            <w:tcW w:type="dxa" w:w="2521"/>
            <w:tcMar>
              <w:top w:w="60" w:type="dxa"/>
              <w:start w:w="60" w:type="dxa"/>
              <w:bottom w:w="60" w:type="dxa"/>
              <w:end w:w="60" w:type="dxa"/>
            </w:tcMar>
          </w:tcPr>
          <w:p>
            <w:r>
              <w:t>No major compensating increase</w:t>
            </w:r>
          </w:p>
        </w:tc>
        <w:tc>
          <w:tcPr>
            <w:tcW w:type="dxa" w:w="2521"/>
            <w:tcMar>
              <w:top w:w="60" w:type="dxa"/>
              <w:start w:w="60" w:type="dxa"/>
              <w:bottom w:w="60" w:type="dxa"/>
              <w:end w:w="60" w:type="dxa"/>
            </w:tcMar>
          </w:tcPr>
          <w:p>
            <w:r>
              <w:t>Stronger downward delivery is the dominant mechanism.</w:t>
            </w:r>
          </w:p>
        </w:tc>
      </w:tr>
      <w:tr>
        <w:tc>
          <w:tcPr>
            <w:tcW w:type="dxa" w:w="2521"/>
            <w:tcMar>
              <w:top w:w="60" w:type="dxa"/>
              <w:start w:w="60" w:type="dxa"/>
              <w:bottom w:w="60" w:type="dxa"/>
              <w:end w:w="60" w:type="dxa"/>
            </w:tcMar>
          </w:tcPr>
          <w:p>
            <w:r>
              <w:t>Stable</w:t>
            </w:r>
          </w:p>
        </w:tc>
        <w:tc>
          <w:tcPr>
            <w:tcW w:type="dxa" w:w="2521"/>
            <w:tcMar>
              <w:top w:w="60" w:type="dxa"/>
              <w:start w:w="60" w:type="dxa"/>
              <w:bottom w:w="60" w:type="dxa"/>
              <w:end w:w="60" w:type="dxa"/>
            </w:tcMar>
          </w:tcPr>
          <w:p>
            <w:r>
              <w:t>Increases</w:t>
            </w:r>
          </w:p>
        </w:tc>
        <w:tc>
          <w:tcPr>
            <w:tcW w:type="dxa" w:w="2521"/>
            <w:tcMar>
              <w:top w:w="60" w:type="dxa"/>
              <w:start w:w="60" w:type="dxa"/>
              <w:bottom w:w="60" w:type="dxa"/>
              <w:end w:w="60" w:type="dxa"/>
            </w:tcMar>
          </w:tcPr>
          <w:p>
            <w:r>
              <w:t>Decreases / survival rises</w:t>
            </w:r>
          </w:p>
        </w:tc>
        <w:tc>
          <w:tcPr>
            <w:tcW w:type="dxa" w:w="2521"/>
            <w:tcMar>
              <w:top w:w="60" w:type="dxa"/>
              <w:start w:w="60" w:type="dxa"/>
              <w:bottom w:w="60" w:type="dxa"/>
              <w:end w:w="60" w:type="dxa"/>
            </w:tcMar>
          </w:tcPr>
          <w:p>
            <w:r>
              <w:t>Reduced removal allows more material to remain near the surface.</w:t>
            </w:r>
          </w:p>
        </w:tc>
      </w:tr>
      <w:tr>
        <w:tc>
          <w:tcPr>
            <w:tcW w:type="dxa" w:w="2521"/>
            <w:tcMar>
              <w:top w:w="60" w:type="dxa"/>
              <w:start w:w="60" w:type="dxa"/>
              <w:bottom w:w="60" w:type="dxa"/>
              <w:end w:w="60" w:type="dxa"/>
            </w:tcMar>
          </w:tcPr>
          <w:p>
            <w:r>
              <w:t>Increases</w:t>
            </w:r>
          </w:p>
        </w:tc>
        <w:tc>
          <w:tcPr>
            <w:tcW w:type="dxa" w:w="2521"/>
            <w:tcMar>
              <w:top w:w="60" w:type="dxa"/>
              <w:start w:w="60" w:type="dxa"/>
              <w:bottom w:w="60" w:type="dxa"/>
              <w:end w:w="60" w:type="dxa"/>
            </w:tcMar>
          </w:tcPr>
          <w:p>
            <w:r>
              <w:t>Stable</w:t>
            </w:r>
          </w:p>
        </w:tc>
        <w:tc>
          <w:tcPr>
            <w:tcW w:type="dxa" w:w="2521"/>
            <w:tcMar>
              <w:top w:w="60" w:type="dxa"/>
              <w:start w:w="60" w:type="dxa"/>
              <w:bottom w:w="60" w:type="dxa"/>
              <w:end w:w="60" w:type="dxa"/>
            </w:tcMar>
          </w:tcPr>
          <w:p>
            <w:r>
              <w:t>Increases</w:t>
            </w:r>
          </w:p>
        </w:tc>
        <w:tc>
          <w:tcPr>
            <w:tcW w:type="dxa" w:w="2521"/>
            <w:tcMar>
              <w:top w:w="60" w:type="dxa"/>
              <w:start w:w="60" w:type="dxa"/>
              <w:bottom w:w="60" w:type="dxa"/>
              <w:end w:w="60" w:type="dxa"/>
            </w:tcMar>
          </w:tcPr>
          <w:p>
            <w:r>
              <w:t>Stronger delivery is compensated by stronger scavenging/removal.</w:t>
            </w:r>
          </w:p>
        </w:tc>
      </w:tr>
      <w:tr>
        <w:tc>
          <w:tcPr>
            <w:tcW w:type="dxa" w:w="2521"/>
            <w:tcMar>
              <w:top w:w="60" w:type="dxa"/>
              <w:start w:w="60" w:type="dxa"/>
              <w:bottom w:w="60" w:type="dxa"/>
              <w:end w:w="60" w:type="dxa"/>
            </w:tcMar>
          </w:tcPr>
          <w:p>
            <w:r>
              <w:t>Decreases</w:t>
            </w:r>
          </w:p>
        </w:tc>
        <w:tc>
          <w:tcPr>
            <w:tcW w:type="dxa" w:w="2521"/>
            <w:tcMar>
              <w:top w:w="60" w:type="dxa"/>
              <w:start w:w="60" w:type="dxa"/>
              <w:bottom w:w="60" w:type="dxa"/>
              <w:end w:w="60" w:type="dxa"/>
            </w:tcMar>
          </w:tcPr>
          <w:p>
            <w:r>
              <w:t>Decreases more strongly</w:t>
            </w:r>
          </w:p>
        </w:tc>
        <w:tc>
          <w:tcPr>
            <w:tcW w:type="dxa" w:w="2521"/>
            <w:tcMar>
              <w:top w:w="60" w:type="dxa"/>
              <w:start w:w="60" w:type="dxa"/>
              <w:bottom w:w="60" w:type="dxa"/>
              <w:end w:w="60" w:type="dxa"/>
            </w:tcMar>
          </w:tcPr>
          <w:p>
            <w:r>
              <w:t>Increases or survival falls</w:t>
            </w:r>
          </w:p>
        </w:tc>
        <w:tc>
          <w:tcPr>
            <w:tcW w:type="dxa" w:w="2521"/>
            <w:tcMar>
              <w:top w:w="60" w:type="dxa"/>
              <w:start w:w="60" w:type="dxa"/>
              <w:bottom w:w="60" w:type="dxa"/>
              <w:end w:w="60" w:type="dxa"/>
            </w:tcMar>
          </w:tcPr>
          <w:p>
            <w:r>
              <w:t>Weaker delivery and/or stronger removal both reduce surface influence.</w:t>
            </w:r>
          </w:p>
        </w:tc>
      </w:tr>
    </w:tbl>
    <w:p>
      <w:pPr>
        <w:pStyle w:val="Heading1"/>
      </w:pPr>
      <w:r>
        <w:t>5. Novelty after the literature update</w:t>
      </w:r>
    </w:p>
    <w:p>
      <w:pPr>
        <w:pStyle w:val="ListBullet"/>
      </w:pPr>
      <w:r>
        <w:t>The novelty is not the use of an idealized tracer itself; that is established.</w:t>
      </w:r>
    </w:p>
    <w:p>
      <w:pPr>
        <w:pStyle w:val="ListBullet"/>
      </w:pPr>
      <w:r>
        <w:t>The novelty is the controlled historical experiment asking whether the same stratospheric material has a different atmospheric fate under meteorology from different decades.</w:t>
      </w:r>
    </w:p>
    <w:p>
      <w:pPr>
        <w:pStyle w:val="ListBullet"/>
      </w:pPr>
      <w:r>
        <w:t>The surface is an explicit endpoint: source-normalized surface concentration and survival are primary diagnostics rather than side products.</w:t>
      </w:r>
    </w:p>
    <w:p>
      <w:pPr>
        <w:pStyle w:val="ListBullet"/>
      </w:pPr>
      <w:r>
        <w:t>Transport and removal are experimentally separated with paired tracers under an identical source.</w:t>
      </w:r>
    </w:p>
    <w:p>
      <w:pPr>
        <w:pStyle w:val="ListBullet"/>
      </w:pPr>
      <w:r>
        <w:t>Model structural uncertainty and reanalysis uncertainty are treated as separate scientific dimensions.</w:t>
      </w:r>
    </w:p>
    <w:p>
      <w:pPr>
        <w:pStyle w:val="ListBullet"/>
      </w:pPr>
      <w:r>
        <w:t>⁷Be surface concentration and deposition provide an observational bridge between idealized atmospheric fate and a real cosmogenic aerosol.</w:t>
      </w:r>
    </w:p>
    <w:p>
      <w:pPr>
        <w:pStyle w:val="Heading1"/>
      </w:pPr>
      <w:r>
        <w:t>6. Expected outputs and practical relevance</w:t>
      </w:r>
    </w:p>
    <w:p>
      <w:pPr>
        <w:pStyle w:val="ListBullet"/>
      </w:pPr>
      <w:r>
        <w:t>A multidecadal atlas of source-normalized stratospheric influence at the surface.</w:t>
      </w:r>
    </w:p>
    <w:p>
      <w:pPr>
        <w:pStyle w:val="ListBullet"/>
      </w:pPr>
      <w:r>
        <w:t>A climatology of deep intrusion frequency, intensity, duration, descent time and PBL penetration.</w:t>
      </w:r>
    </w:p>
    <w:p>
      <w:pPr>
        <w:pStyle w:val="ListBullet"/>
      </w:pPr>
      <w:r>
        <w:t>A quantitative estimate of how aerosol survival and wet/dry removal have varied under historical meteorology.</w:t>
      </w:r>
    </w:p>
    <w:p>
      <w:pPr>
        <w:pStyle w:val="ListBullet"/>
      </w:pPr>
      <w:r>
        <w:t>A diagnosis of whether changes in surface influence arise primarily from transport supply or removal efficiency.</w:t>
      </w:r>
    </w:p>
    <w:p>
      <w:pPr>
        <w:pStyle w:val="ListBullet"/>
      </w:pPr>
      <w:r>
        <w:t>An uncertainty framework identifying which signals are robust across DEHM, GEOS-Chem, ERA5/MERRA-2 diagnostics and source sensitivities.</w:t>
      </w:r>
    </w:p>
    <w:p>
      <w:pPr>
        <w:pStyle w:val="ListBullet"/>
      </w:pPr>
      <w:r>
        <w:t>An observational assessment using ⁷Be air concentration and deposition.</w:t>
      </w:r>
    </w:p>
    <w:p>
      <w:pPr>
        <w:pStyle w:val="ListBullet"/>
      </w:pPr>
      <w:r>
        <w:t>A reusable controlled-tracer benchmark for atmospheric transport models.</w:t>
      </w:r>
    </w:p>
    <w:p>
      <w:pPr>
        <w:pStyle w:val="Heading1"/>
      </w:pPr>
      <w:r>
        <w:t>7. Work plan for a 24-month MSCA fellowship</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1F4E78"/>
          </w:tcPr>
          <w:p>
            <w:r>
              <w:rPr>
                <w:b/>
                <w:color w:val="FFFFFF"/>
              </w:rPr>
              <w:t>WP</w:t>
            </w:r>
          </w:p>
        </w:tc>
        <w:tc>
          <w:tcPr>
            <w:tcW w:type="dxa" w:w="2521"/>
            <w:shd w:fill="1F4E78"/>
          </w:tcPr>
          <w:p>
            <w:r>
              <w:rPr>
                <w:b/>
                <w:color w:val="FFFFFF"/>
              </w:rPr>
              <w:t>Months</w:t>
            </w:r>
          </w:p>
        </w:tc>
        <w:tc>
          <w:tcPr>
            <w:tcW w:type="dxa" w:w="2521"/>
            <w:shd w:fill="1F4E78"/>
          </w:tcPr>
          <w:p>
            <w:r>
              <w:rPr>
                <w:b/>
                <w:color w:val="FFFFFF"/>
              </w:rPr>
              <w:t>Main tasks</w:t>
            </w:r>
          </w:p>
        </w:tc>
        <w:tc>
          <w:tcPr>
            <w:tcW w:type="dxa" w:w="2521"/>
            <w:shd w:fill="1F4E78"/>
          </w:tcPr>
          <w:p>
            <w:r>
              <w:rPr>
                <w:b/>
                <w:color w:val="FFFFFF"/>
              </w:rPr>
              <w:t>Main output</w:t>
            </w:r>
          </w:p>
        </w:tc>
      </w:tr>
      <w:tr>
        <w:tc>
          <w:tcPr>
            <w:tcW w:type="dxa" w:w="2521"/>
            <w:tcMar>
              <w:top w:w="60" w:type="dxa"/>
              <w:start w:w="60" w:type="dxa"/>
              <w:bottom w:w="60" w:type="dxa"/>
              <w:end w:w="60" w:type="dxa"/>
            </w:tcMar>
            <w:vAlign w:val="top"/>
          </w:tcPr>
          <w:p>
            <w:r>
              <w:t>WP1 Controlled benchmark</w:t>
            </w:r>
          </w:p>
        </w:tc>
        <w:tc>
          <w:tcPr>
            <w:tcW w:type="dxa" w:w="2521"/>
            <w:tcMar>
              <w:top w:w="60" w:type="dxa"/>
              <w:start w:w="60" w:type="dxa"/>
              <w:bottom w:w="60" w:type="dxa"/>
              <w:end w:w="60" w:type="dxa"/>
            </w:tcMar>
            <w:vAlign w:val="top"/>
          </w:tcPr>
          <w:p>
            <w:r>
              <w:t>M1–M4</w:t>
            </w:r>
          </w:p>
        </w:tc>
        <w:tc>
          <w:tcPr>
            <w:tcW w:type="dxa" w:w="2521"/>
            <w:tcMar>
              <w:top w:w="60" w:type="dxa"/>
              <w:start w:w="60" w:type="dxa"/>
              <w:bottom w:w="60" w:type="dxa"/>
              <w:end w:w="60" w:type="dxa"/>
            </w:tcMar>
            <w:vAlign w:val="top"/>
          </w:tcPr>
          <w:p>
            <w:r>
              <w:t>Implement source/lifetime; mass-balance tests; source-height sensitivity; harmonize output</w:t>
            </w:r>
          </w:p>
        </w:tc>
        <w:tc>
          <w:tcPr>
            <w:tcW w:type="dxa" w:w="2521"/>
            <w:tcMar>
              <w:top w:w="60" w:type="dxa"/>
              <w:start w:w="60" w:type="dxa"/>
              <w:bottom w:w="60" w:type="dxa"/>
              <w:end w:w="60" w:type="dxa"/>
            </w:tcMar>
            <w:vAlign w:val="top"/>
          </w:tcPr>
          <w:p>
            <w:r>
              <w:t>Validated tracer protocol</w:t>
            </w:r>
          </w:p>
        </w:tc>
      </w:tr>
      <w:tr>
        <w:tc>
          <w:tcPr>
            <w:tcW w:type="dxa" w:w="2521"/>
            <w:tcMar>
              <w:top w:w="60" w:type="dxa"/>
              <w:start w:w="60" w:type="dxa"/>
              <w:bottom w:w="60" w:type="dxa"/>
              <w:end w:w="60" w:type="dxa"/>
            </w:tcMar>
            <w:vAlign w:val="top"/>
          </w:tcPr>
          <w:p>
            <w:r>
              <w:t>WP2 Historical transport and surface response</w:t>
            </w:r>
          </w:p>
        </w:tc>
        <w:tc>
          <w:tcPr>
            <w:tcW w:type="dxa" w:w="2521"/>
            <w:tcMar>
              <w:top w:w="60" w:type="dxa"/>
              <w:start w:w="60" w:type="dxa"/>
              <w:bottom w:w="60" w:type="dxa"/>
              <w:end w:w="60" w:type="dxa"/>
            </w:tcMar>
            <w:vAlign w:val="top"/>
          </w:tcPr>
          <w:p>
            <w:r>
              <w:t>M4–M13</w:t>
            </w:r>
          </w:p>
        </w:tc>
        <w:tc>
          <w:tcPr>
            <w:tcW w:type="dxa" w:w="2521"/>
            <w:tcMar>
              <w:top w:w="60" w:type="dxa"/>
              <w:start w:w="60" w:type="dxa"/>
              <w:bottom w:w="60" w:type="dxa"/>
              <w:end w:w="60" w:type="dxa"/>
            </w:tcMar>
            <w:vAlign w:val="top"/>
          </w:tcPr>
          <w:p>
            <w:r>
              <w:t>PASSIVE/AEROSOL simulations; profiles; C_surface; deep-intrusion metrics</w:t>
            </w:r>
          </w:p>
        </w:tc>
        <w:tc>
          <w:tcPr>
            <w:tcW w:type="dxa" w:w="2521"/>
            <w:tcMar>
              <w:top w:w="60" w:type="dxa"/>
              <w:start w:w="60" w:type="dxa"/>
              <w:bottom w:w="60" w:type="dxa"/>
              <w:end w:w="60" w:type="dxa"/>
            </w:tcMar>
            <w:vAlign w:val="top"/>
          </w:tcPr>
          <w:p>
            <w:r>
              <w:t>Multidecadal surface-penetration dataset</w:t>
            </w:r>
          </w:p>
        </w:tc>
      </w:tr>
      <w:tr>
        <w:tc>
          <w:tcPr>
            <w:tcW w:type="dxa" w:w="2521"/>
            <w:tcMar>
              <w:top w:w="60" w:type="dxa"/>
              <w:start w:w="60" w:type="dxa"/>
              <w:bottom w:w="60" w:type="dxa"/>
              <w:end w:w="60" w:type="dxa"/>
            </w:tcMar>
            <w:vAlign w:val="top"/>
          </w:tcPr>
          <w:p>
            <w:r>
              <w:t>WP3 Meteorology and pathway attribution</w:t>
            </w:r>
          </w:p>
        </w:tc>
        <w:tc>
          <w:tcPr>
            <w:tcW w:type="dxa" w:w="2521"/>
            <w:tcMar>
              <w:top w:w="60" w:type="dxa"/>
              <w:start w:w="60" w:type="dxa"/>
              <w:bottom w:w="60" w:type="dxa"/>
              <w:end w:w="60" w:type="dxa"/>
            </w:tcMar>
            <w:vAlign w:val="top"/>
          </w:tcPr>
          <w:p>
            <w:r>
              <w:t>M8–M17</w:t>
            </w:r>
          </w:p>
        </w:tc>
        <w:tc>
          <w:tcPr>
            <w:tcW w:type="dxa" w:w="2521"/>
            <w:tcMar>
              <w:top w:w="60" w:type="dxa"/>
              <w:start w:w="60" w:type="dxa"/>
              <w:bottom w:w="60" w:type="dxa"/>
              <w:end w:w="60" w:type="dxa"/>
            </w:tcMar>
            <w:vAlign w:val="top"/>
          </w:tcPr>
          <w:p>
            <w:r>
              <w:t>ERA5/MERRA-2 Lagrangian analysis; DEHM forcing sensitivity; PBL-entry diagnostics</w:t>
            </w:r>
          </w:p>
        </w:tc>
        <w:tc>
          <w:tcPr>
            <w:tcW w:type="dxa" w:w="2521"/>
            <w:tcMar>
              <w:top w:w="60" w:type="dxa"/>
              <w:start w:w="60" w:type="dxa"/>
              <w:bottom w:w="60" w:type="dxa"/>
              <w:end w:w="60" w:type="dxa"/>
            </w:tcMar>
            <w:vAlign w:val="top"/>
          </w:tcPr>
          <w:p>
            <w:r>
              <w:t>Meteorological/pathway uncertainty assessment</w:t>
            </w:r>
          </w:p>
        </w:tc>
      </w:tr>
      <w:tr>
        <w:tc>
          <w:tcPr>
            <w:tcW w:type="dxa" w:w="2521"/>
            <w:tcMar>
              <w:top w:w="60" w:type="dxa"/>
              <w:start w:w="60" w:type="dxa"/>
              <w:bottom w:w="60" w:type="dxa"/>
              <w:end w:w="60" w:type="dxa"/>
            </w:tcMar>
            <w:vAlign w:val="top"/>
          </w:tcPr>
          <w:p>
            <w:r>
              <w:t>WP4 Removal and ⁷Be constraint</w:t>
            </w:r>
          </w:p>
        </w:tc>
        <w:tc>
          <w:tcPr>
            <w:tcW w:type="dxa" w:w="2521"/>
            <w:tcMar>
              <w:top w:w="60" w:type="dxa"/>
              <w:start w:w="60" w:type="dxa"/>
              <w:bottom w:w="60" w:type="dxa"/>
              <w:end w:w="60" w:type="dxa"/>
            </w:tcMar>
            <w:vAlign w:val="top"/>
          </w:tcPr>
          <w:p>
            <w:r>
              <w:t>M12–M21</w:t>
            </w:r>
          </w:p>
        </w:tc>
        <w:tc>
          <w:tcPr>
            <w:tcW w:type="dxa" w:w="2521"/>
            <w:tcMar>
              <w:top w:w="60" w:type="dxa"/>
              <w:start w:w="60" w:type="dxa"/>
              <w:bottom w:w="60" w:type="dxa"/>
              <w:end w:w="60" w:type="dxa"/>
            </w:tcMar>
            <w:vAlign w:val="top"/>
          </w:tcPr>
          <w:p>
            <w:r>
              <w:t>Removal efficiency; precipitation regime; ⁷Be concentration/deposition evaluation</w:t>
            </w:r>
          </w:p>
        </w:tc>
        <w:tc>
          <w:tcPr>
            <w:tcW w:type="dxa" w:w="2521"/>
            <w:tcMar>
              <w:top w:w="60" w:type="dxa"/>
              <w:start w:w="60" w:type="dxa"/>
              <w:bottom w:w="60" w:type="dxa"/>
              <w:end w:w="60" w:type="dxa"/>
            </w:tcMar>
            <w:vAlign w:val="top"/>
          </w:tcPr>
          <w:p>
            <w:r>
              <w:t>Transport-versus-removal attribution</w:t>
            </w:r>
          </w:p>
        </w:tc>
      </w:tr>
      <w:tr>
        <w:tc>
          <w:tcPr>
            <w:tcW w:type="dxa" w:w="2521"/>
            <w:tcMar>
              <w:top w:w="60" w:type="dxa"/>
              <w:start w:w="60" w:type="dxa"/>
              <w:bottom w:w="60" w:type="dxa"/>
              <w:end w:w="60" w:type="dxa"/>
            </w:tcMar>
            <w:vAlign w:val="top"/>
          </w:tcPr>
          <w:p>
            <w:r>
              <w:t>WP5 Synthesis and dissemination</w:t>
            </w:r>
          </w:p>
        </w:tc>
        <w:tc>
          <w:tcPr>
            <w:tcW w:type="dxa" w:w="2521"/>
            <w:tcMar>
              <w:top w:w="60" w:type="dxa"/>
              <w:start w:w="60" w:type="dxa"/>
              <w:bottom w:w="60" w:type="dxa"/>
              <w:end w:w="60" w:type="dxa"/>
            </w:tcMar>
            <w:vAlign w:val="top"/>
          </w:tcPr>
          <w:p>
            <w:r>
              <w:t>M18–M24</w:t>
            </w:r>
          </w:p>
        </w:tc>
        <w:tc>
          <w:tcPr>
            <w:tcW w:type="dxa" w:w="2521"/>
            <w:tcMar>
              <w:top w:w="60" w:type="dxa"/>
              <w:start w:w="60" w:type="dxa"/>
              <w:bottom w:w="60" w:type="dxa"/>
              <w:end w:w="60" w:type="dxa"/>
            </w:tcMar>
            <w:vAlign w:val="top"/>
          </w:tcPr>
          <w:p>
            <w:r>
              <w:t>Robustness analysis; manuscripts; open benchmark/code</w:t>
            </w:r>
          </w:p>
        </w:tc>
        <w:tc>
          <w:tcPr>
            <w:tcW w:type="dxa" w:w="2521"/>
            <w:tcMar>
              <w:top w:w="60" w:type="dxa"/>
              <w:start w:w="60" w:type="dxa"/>
              <w:bottom w:w="60" w:type="dxa"/>
              <w:end w:w="60" w:type="dxa"/>
            </w:tcMar>
            <w:vAlign w:val="top"/>
          </w:tcPr>
          <w:p>
            <w:r>
              <w:t>Final robust-change assessment</w:t>
            </w:r>
          </w:p>
        </w:tc>
      </w:tr>
    </w:tbl>
    <w:p>
      <w:pPr>
        <w:pStyle w:val="Heading1"/>
      </w:pPr>
      <w:r>
        <w:t>8. Main risks and mitigation</w:t>
      </w:r>
    </w:p>
    <w:tbl>
      <w:tblPr>
        <w:tblStyle w:val="TableGrid"/>
        <w:tblW w:type="auto" w:w="0"/>
        <w:jc w:val="center"/>
        <w:tblLook w:firstColumn="1" w:firstRow="1" w:lastColumn="0" w:lastRow="0" w:noHBand="0" w:noVBand="1" w:val="04A0"/>
      </w:tblPr>
      <w:tblGrid>
        <w:gridCol w:w="5043"/>
        <w:gridCol w:w="5043"/>
      </w:tblGrid>
      <w:tr>
        <w:tc>
          <w:tcPr>
            <w:tcW w:type="dxa" w:w="5043"/>
            <w:shd w:fill="1F4E78"/>
          </w:tcPr>
          <w:p>
            <w:r>
              <w:rPr>
                <w:b/>
                <w:color w:val="FFFFFF"/>
              </w:rPr>
              <w:t>Risk</w:t>
            </w:r>
          </w:p>
        </w:tc>
        <w:tc>
          <w:tcPr>
            <w:tcW w:type="dxa" w:w="5043"/>
            <w:shd w:fill="1F4E78"/>
          </w:tcPr>
          <w:p>
            <w:r>
              <w:rPr>
                <w:b/>
                <w:color w:val="FFFFFF"/>
              </w:rPr>
              <w:t>Mitigation</w:t>
            </w:r>
          </w:p>
        </w:tc>
      </w:tr>
      <w:tr>
        <w:tc>
          <w:tcPr>
            <w:tcW w:type="dxa" w:w="5043"/>
            <w:tcMar>
              <w:top w:w="80" w:type="dxa"/>
              <w:start w:w="80" w:type="dxa"/>
              <w:bottom w:w="80" w:type="dxa"/>
              <w:end w:w="80" w:type="dxa"/>
            </w:tcMar>
          </w:tcPr>
          <w:p>
            <w:r>
              <w:t>Tracer source near DEHM top/tropopause</w:t>
            </w:r>
          </w:p>
        </w:tc>
        <w:tc>
          <w:tcPr>
            <w:tcW w:type="dxa" w:w="5043"/>
            <w:tcMar>
              <w:top w:w="80" w:type="dxa"/>
              <w:start w:w="80" w:type="dxa"/>
              <w:bottom w:w="80" w:type="dxa"/>
              <w:end w:w="80" w:type="dxa"/>
            </w:tcMar>
          </w:tcPr>
          <w:p>
            <w:r>
              <w:t>Test several source/lifetime definitions and interpret only source-insensitive signals.</w:t>
            </w:r>
          </w:p>
        </w:tc>
      </w:tr>
      <w:tr>
        <w:tc>
          <w:tcPr>
            <w:tcW w:type="dxa" w:w="5043"/>
            <w:tcMar>
              <w:top w:w="80" w:type="dxa"/>
              <w:start w:w="80" w:type="dxa"/>
              <w:bottom w:w="80" w:type="dxa"/>
              <w:end w:w="80" w:type="dxa"/>
            </w:tcMar>
          </w:tcPr>
          <w:p>
            <w:r>
              <w:t>GEOS-Chem + ERA5 is not a standard configuration</w:t>
            </w:r>
          </w:p>
        </w:tc>
        <w:tc>
          <w:tcPr>
            <w:tcW w:type="dxa" w:w="5043"/>
            <w:tcMar>
              <w:top w:w="80" w:type="dxa"/>
              <w:start w:w="80" w:type="dxa"/>
              <w:bottom w:w="80" w:type="dxa"/>
              <w:end w:w="80" w:type="dxa"/>
            </w:tcMar>
          </w:tcPr>
          <w:p>
            <w:r>
              <w:t>Keep it optional. Core attribution does not depend on it.</w:t>
            </w:r>
          </w:p>
        </w:tc>
      </w:tr>
      <w:tr>
        <w:tc>
          <w:tcPr>
            <w:tcW w:type="dxa" w:w="5043"/>
            <w:tcMar>
              <w:top w:w="80" w:type="dxa"/>
              <w:start w:w="80" w:type="dxa"/>
              <w:bottom w:w="80" w:type="dxa"/>
              <w:end w:w="80" w:type="dxa"/>
            </w:tcMar>
          </w:tcPr>
          <w:p>
            <w:r>
              <w:t>Long simulations are computationally expensive</w:t>
            </w:r>
          </w:p>
        </w:tc>
        <w:tc>
          <w:tcPr>
            <w:tcW w:type="dxa" w:w="5043"/>
            <w:tcMar>
              <w:top w:w="80" w:type="dxa"/>
              <w:start w:w="80" w:type="dxa"/>
              <w:bottom w:w="80" w:type="dxa"/>
              <w:end w:w="80" w:type="dxa"/>
            </w:tcMar>
          </w:tcPr>
          <w:p>
            <w:r>
              <w:t>Protect the core historical PASSIVE/AEROSOL runs; screen secondary sensitivities on shorter periods first.</w:t>
            </w:r>
          </w:p>
        </w:tc>
      </w:tr>
      <w:tr>
        <w:tc>
          <w:tcPr>
            <w:tcW w:type="dxa" w:w="5043"/>
            <w:tcMar>
              <w:top w:w="80" w:type="dxa"/>
              <w:start w:w="80" w:type="dxa"/>
              <w:bottom w:w="80" w:type="dxa"/>
              <w:end w:w="80" w:type="dxa"/>
            </w:tcMar>
          </w:tcPr>
          <w:p>
            <w:r>
              <w:t>Reanalysis inhomogeneities mimic trends</w:t>
            </w:r>
          </w:p>
        </w:tc>
        <w:tc>
          <w:tcPr>
            <w:tcW w:type="dxa" w:w="5043"/>
            <w:tcMar>
              <w:top w:w="80" w:type="dxa"/>
              <w:start w:w="80" w:type="dxa"/>
              <w:bottom w:w="80" w:type="dxa"/>
              <w:end w:w="80" w:type="dxa"/>
            </w:tcMar>
          </w:tcPr>
          <w:p>
            <w:r>
              <w:t>Use multiple reanalyses/diagnostics, moving windows, break tests and conservative robustness criteria.</w:t>
            </w:r>
          </w:p>
        </w:tc>
      </w:tr>
      <w:tr>
        <w:tc>
          <w:tcPr>
            <w:tcW w:type="dxa" w:w="5043"/>
            <w:tcMar>
              <w:top w:w="80" w:type="dxa"/>
              <w:start w:w="80" w:type="dxa"/>
              <w:bottom w:w="80" w:type="dxa"/>
              <w:end w:w="80" w:type="dxa"/>
            </w:tcMar>
          </w:tcPr>
          <w:p>
            <w:r>
              <w:t>Surface signal is small or event-dominated</w:t>
            </w:r>
          </w:p>
        </w:tc>
        <w:tc>
          <w:tcPr>
            <w:tcW w:type="dxa" w:w="5043"/>
            <w:tcMar>
              <w:top w:w="80" w:type="dxa"/>
              <w:start w:w="80" w:type="dxa"/>
              <w:bottom w:w="80" w:type="dxa"/>
              <w:end w:w="80" w:type="dxa"/>
            </w:tcMar>
          </w:tcPr>
          <w:p>
            <w:r>
              <w:t>Analyse seasonal distributions and extreme-event metrics in addition to mean trends.</w:t>
            </w:r>
          </w:p>
        </w:tc>
      </w:tr>
      <w:tr>
        <w:tc>
          <w:tcPr>
            <w:tcW w:type="dxa" w:w="5043"/>
            <w:tcMar>
              <w:top w:w="80" w:type="dxa"/>
              <w:start w:w="80" w:type="dxa"/>
              <w:bottom w:w="80" w:type="dxa"/>
              <w:end w:w="80" w:type="dxa"/>
            </w:tcMar>
          </w:tcPr>
          <w:p>
            <w:r>
              <w:t>Surface concentration and deposition move in opposite directions</w:t>
            </w:r>
          </w:p>
        </w:tc>
        <w:tc>
          <w:tcPr>
            <w:tcW w:type="dxa" w:w="5043"/>
            <w:tcMar>
              <w:top w:w="80" w:type="dxa"/>
              <w:start w:w="80" w:type="dxa"/>
              <w:bottom w:w="80" w:type="dxa"/>
              <w:end w:w="80" w:type="dxa"/>
            </w:tcMar>
          </w:tcPr>
          <w:p>
            <w:r>
              <w:t>Treat this as mechanistic information, not inconsistency; use paired-tracer decomposition.</w:t>
            </w:r>
          </w:p>
        </w:tc>
      </w:tr>
    </w:tbl>
    <w:p>
      <w:pPr>
        <w:pStyle w:val="Heading1"/>
      </w:pPr>
      <w:r>
        <w:t>9. Priority literature underpinning the updated concept</w:t>
      </w:r>
    </w:p>
    <w:p>
      <w:r>
        <w:t>Fang, Y., Fiore, A. M., Horowitz, L. W., et al. (2011). The impacts of changing transport and precipitation on pollutant distributions in a future climate. Journal of Geophysical Research: Atmospheres, 116. DOI: 10.1029/2011JD015642.</w:t>
      </w:r>
    </w:p>
    <w:p>
      <w:r>
        <w:t>Abalos, M., Orbe, C., Kinnison, D. E., et al. (2020). Future trends in stratosphere-to-troposphere transport in CCMI models. Atmospheric Chemistry and Physics, 20, 6883–6901. DOI: 10.5194/acp-20-6883-2020.</w:t>
      </w:r>
    </w:p>
    <w:p>
      <w:r>
        <w:t>Škerlak, B., Pfahl, S., Sprenger, M., and Wernli, H. (2019). A numerical process study on the rapid transport of stratospheric air down to the surface over western North America and the Tibetan Plateau. Atmospheric Chemistry and Physics, 19, 6535–6549. DOI: 10.5194/acp-19-6535-2019.</w:t>
      </w:r>
    </w:p>
    <w:p>
      <w:r>
        <w:t>Liu, H., Jacob, D. J., Bey, I., and Yantosca, R. M. (2001). Constraints from 210Pb and 7Be on wet deposition and transport in a global three-dimensional chemical tracer model driven by assimilated meteorological fields. Journal of Geophysical Research: Atmospheres, 106, 12109–12128. DOI: 10.1029/2000JD900839.</w:t>
      </w:r>
    </w:p>
    <w:p>
      <w:r>
        <w:t>Liu, H., Considine, D. B., Horowitz, L. W., et al. (2016). Using beryllium-7 to assess cross-tropopause transport in global models. Atmospheric Chemistry and Physics, 16, 4641–4659. DOI: 10.5194/acp-16-4641-2016.</w:t>
      </w:r>
    </w:p>
    <w:p>
      <w:r>
        <w:t>Kremenchutskii, D. A. (2022). Precipitation scavenging of beryllium-7 (7Be): Observation results and parameterization. Chemosphere, 307, 135908. DOI: 10.1016/j.chemosphere.2022.135908.</w:t>
      </w:r>
    </w:p>
    <w:p>
      <w:r>
        <w:t>Orbe, C., Waugh, D. W., Yang, H., et al. (2017). Tropospheric transport differences between models using the same large-scale meteorological fields. Geophysical Research Letters, 44, 1068–1078. DOI: 10.1002/2016GL071339.</w:t>
      </w:r>
    </w:p>
    <w:p>
      <w:r>
        <w:t>Orbe, C., Yang, H., Waugh, D. W., et al. (2018). Large-scale tropospheric transport in the Chemistry–Climate Model Initiative (CCMI) simulations. Atmospheric Chemistry and Physics, 18, 7217–7235. DOI: 10.5194/acp-18-7217-2018.</w:t>
      </w:r>
    </w:p>
    <w:p>
      <w:r>
        <w:t>Boothe, A. C., and Homeyer, C. R. (2017). Global large-scale stratosphere–troposphere exchange in modern reanalyses. Atmospheric Chemistry and Physics, 17, 5537–5559. DOI: 10.5194/acp-17-5537-2017.</w:t>
      </w:r>
    </w:p>
    <w:p>
      <w:r>
        <w:t>Hoffmann, L., Günther, G., Li, D., et al. (2019). From ERA-Interim to ERA5: the considerable impact of ECMWF's next-generation reanalysis on Lagrangian transport simulations. Atmospheric Chemistry and Physics, 19, 3097–3124. DOI: 10.5194/acp-19-3097-2019.</w:t>
      </w:r>
    </w:p>
    <w:p>
      <w:r>
        <w:t>Ploeger, F., and Garny, H. (2022). Hemispheric asymmetries in recent changes in the stratospheric circulation. Atmospheric Chemistry and Physics, 22, 5559–5576. DOI: 10.5194/acp-22-5559-2022.</w:t>
      </w:r>
    </w:p>
    <w:p>
      <w:r>
        <w:t>Hernández Pardo, L., Curtius, J., Jöckel, P., et al. (2026). Downward transport of tropical upper-tropospheric aerosols: multi-year insights from idealized simulations. Atmospheric Chemistry and Physics, 26, 12275–12293. DOI: 10.5194/acp-26-12275-2026.</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STRAT-TRACE concept proposal v2 — surface fate focus — 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