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STRAT-TRACE</w:t>
      </w:r>
    </w:p>
    <w:p>
      <w:pPr>
        <w:pStyle w:val="Subtitle"/>
      </w:pPr>
      <w:r>
        <w:rPr>
          <w:b w:val="0"/>
        </w:rPr>
        <w:t>Source-tagged ⁷Be for process-aware aerosol model evaluation</w:t>
      </w:r>
    </w:p>
    <w:p>
      <w:pPr>
        <w:spacing w:after="40"/>
        <w:jc w:val="both"/>
      </w:pPr>
      <w:r>
        <w:rPr>
          <w:b w:val="0"/>
        </w:rPr>
        <w:t>Essaid Chham | Aarhus University, Denmark | European Postdoctoral Fellowship, 24 months</w:t>
      </w:r>
    </w:p>
    <w:p>
      <w:pPr>
        <w:spacing w:after="60"/>
        <w:jc w:val="both"/>
      </w:pPr>
      <w:r>
        <w:rPr/>
        <w:t>Supervisor: Zhuyun Ye | Part B1</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Scientific contribution.</w:t>
      </w:r>
      <w:r>
        <w:rPr/>
        <w:t xml:space="preserve"> STRAT-TRACE will establish when joint observations of airborne and deposited ⁷Be can distinguish changes in upper-atmospheric supply from changes in wet removal. Controlled DEHM experiments will link each explanation to a verified source budget and test its support across observed years and sampling regimes.</w:t>
      </w:r>
    </w:p>
    <w:p>
      <w:pPr>
        <w:jc w:val="both"/>
      </w:pPr>
      <w:r>
        <w:rPr/>
        <w:t>Air-quality model development needs tests that explain why a simulation agrees with measurements. Using the existing beryllium-7 (⁷Be) implementation in the Danish Eulerian Hemispheric Model (DEHM), STRAT-TRACE will deliver a reusable benchmark showing which process explanations the observations support, exclude or leave indistinguishable. The objectives progress from verified source budgets (O1) to discrimination of supply–removal explanations (O2) and transfer across years and observing regimes (O3).</w:t>
      </w:r>
    </w:p>
    <w:p>
      <w:pPr>
        <w:jc w:val="both"/>
      </w:pPr>
      <w:r>
        <w:rPr/>
        <w:t>For particle-bound ⁷Be, production, boundary supply, transport, radioactive decay and deposition jointly determine the measured signal [1–3]. Air concentration and deposition provide complementary constraints, while production uncertainty and precipitation regime shape their interpretation [1–4]. Source labels quantify model contributions; independent observations test whether their responses can be distinguished after accounting for sampling and uncertainty.</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 compact within-DEHM experiment set with identical meteorology and independent evaluation, yielding a protocol reusable in other modelling systems.</w:t>
            </w:r>
          </w:p>
        </w:tc>
      </w:tr>
    </w:tbl>
    <w:p>
      <w:pPr>
        <w:pStyle w:val="Caption"/>
      </w:pPr>
      <w:r>
        <w:rPr>
          <w:b w:val="0"/>
        </w:rPr>
        <w:t>Table 1. Novelty is the integrated, observation-aware test of process explanations; individual tracer and statistical tools are established.</w:t>
      </w:r>
    </w:p>
    <w:p>
      <w:pPr>
        <w:jc w:val="both"/>
      </w:pPr>
      <w:r>
        <w:rPr/>
        <w:t>The benchmark will identify which measurement combinations and regimes provide useful constraints on aerosol processes. DEHM contributes to the European CAMS regional air-quality system [17], giving its developers a direct route to evaluate these diagnostics. The practical output is a documented basis for prioritising process tests and assessing whether apparent concentration improvements conceal deposition errors.</w:t>
      </w:r>
    </w:p>
    <w:p>
      <w:pPr>
        <w:pStyle w:val="Heading3"/>
        <w:pageBreakBefore/>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H1: wet-removal changes produce origin-dependent responses. Compare source fractions and absolute losses across years and solar phases under matched variable/fixed production. Test whether contrasts exceed numerical and sampling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H2: joint air–deposition observations discriminate scenarios that air-only evaluation leaves unresolved. Compare recovery at the same controlled false-discrimination rate and quantify the added information from deposition.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H3: budget-supported explanations retain joint skill across held-out years and regimes. Fixed-production controls test source dependence. Assess transfer using separate air/deposition scores and pre-specified uncertainty tolerances.</w:t>
            </w:r>
          </w:p>
        </w:tc>
      </w:tr>
    </w:tbl>
    <w:p>
      <w:pPr>
        <w:jc w:val="both"/>
      </w:pPr>
      <w:r>
        <w:rPr/>
        <w:t>The hypotheses compare wet removal with alternative explanations involving production, upper and lateral boundary supply, and measurement representativeness. Success requires verified response budgets and a reproducible assessment of observational support. Where explanations remain indistinguishable, the benchmark will quantify the tested discrimination limits and the additional observing information needed to separate them.</w:t>
      </w:r>
    </w:p>
    <w:p>
      <w:pPr>
        <w:pStyle w:val="Heading3"/>
      </w:pPr>
      <w:r>
        <w:rPr/>
        <w:t>Existing implementation and observational preparation</w:t>
      </w:r>
    </w:p>
    <w:p>
      <w:pPr>
        <w:jc w:val="both"/>
      </w:pPr>
      <w:r>
        <w:rPr/>
        <w:t>Chham and Ye have implemented ⁷Be in DEHM. Their EGU 2026 abstract documents production mapping, WRF/ERA5 meteorology, aerosol-bound treatment and surface evaluation [7]. The applicant’s preparatory comparison of model resolutions motivates the controlled experiments:</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t>Table 2. Applicant’s preliminary JJA analysis, 2009–2024, 79 model sampling locations. Each response is 100 × (fine/coarse − 1) from paired seasonal means, followed by a spatial median. Locations may share grid cells. These model contrasts motivate process tests; they do not establish observational bias or faster descent.</w:t>
      </w:r>
    </w:p>
    <w:p>
      <w:pPr>
        <w:jc w:val="both"/>
      </w:pPr>
      <w:r>
        <w:rPr/>
        <w:t>Greater deposition with lower precipitation identifies tracer availability and removal exposure as processes to test. STRAT-TRACE will resolve this question through controlled interventions and independent observational evaluation, extending the existing implementation and evaluation work to process discrimination.</w:t>
      </w:r>
    </w:p>
    <w:p>
      <w:pPr>
        <w:jc w:val="both"/>
      </w:pPr>
      <w:r>
        <w:rPr/>
        <w:t>Experimental ⁷Be records extend back to 1986 at one station, with broader station coverage from 2006. The established 2009–2024 deposition dataset provides a recent baseline within this longer record. WP1 will consolidate station histories, measured variables, sampling windows, methods and gaps to define usable coverage. Joint tests will use valid concentration–deposition pairs. DWD correspondence documents co-located sampling and daily precipitation since 2009 [20]; supporting rainfall coverage for earlier records will be checked separately. Existing historical records will enter the same quality-control workflow as the recent data.</w:t>
      </w:r>
    </w:p>
    <w:p>
      <w:pPr>
        <w:pStyle w:val="Heading3"/>
      </w:pPr>
      <w:r>
        <w:rPr/>
        <w:t>A focused design for a 24 month fellowship</w:t>
      </w:r>
    </w:p>
    <w:p>
      <w:pPr>
        <w:jc w:val="both"/>
      </w:pPr>
      <w:r>
        <w:rPr/>
        <w:t>The project uses DEHM alone, with reduced chemistry and existing computational access supporting matched experiments over 1986–2024/2025. Variable and fixed production distinguish source variability from atmospheric response across three complete solar cycles. Long station records support temporal tests, while the wider network supports spatial and regime comparisons. The bounded design uses the existing implementation and measurements, with three wet-removal settings and common forcing. It tests process robustness across historical conditions; climate-change attribution is outside its scope.</w:t>
      </w:r>
    </w:p>
    <w:p>
      <w:pPr>
        <w:pStyle w:val="Heading2"/>
        <w:pageBreakBefore/>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rPr/>
        <w:t>One physical tracer with explicit source and boundary accounting</w:t>
      </w:r>
    </w:p>
    <w:p>
      <w:pPr>
        <w:jc w:val="both"/>
      </w:pPr>
      <w:r>
        <w:rPr/>
        <w:t>The reference is the team’s reduced-chemistry DEHM–WRF/ERA5 workflow at 75 km, with 29 layers and a top near 100 hPa [7]. Transport, mixing, physical decay and wet/dry deposition are retained. The code revision, process operators, aerosol treatment and CRAC:Be formulation [3,9] will be documented and held constant across experiments. Observation-facing simulations use realistic time-varying production driven by archived solar-modulation and geomagnetic inputs. Layer 1 is the surface; layers increase upward.</w:t>
      </w:r>
    </w:p>
    <w:p>
      <w:pPr>
        <w:jc w:val="both"/>
      </w:pPr>
      <w:r>
        <w:rPr/>
        <w:t>Production P(x,t) is partitioned with non-negative masks wₖ such that Σₖwₖ = 1 and Pₖ = wₖP. All labels share transport, physical decay and deposition. They record entry into the simulation by production region or boundary route, rather than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Actual external upper and lateral inputs, separately accounted for. Boundary concentrations are converted to the realised transfer; they are not assumed to prescribe constant mass input.</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t>Table 3. Six labels plus an independent total for each production treatment. A short boundary-shift test checks the pre-specified pressure cut-offs.</w:t>
      </w:r>
    </w:p>
    <w:p>
      <w:pPr>
        <w:jc w:val="both"/>
      </w:pPr>
      <w:r>
        <w:rPr/>
        <w:t>UPPER and TOP quantify upper-domain production and imposed top-boundary supply. With a model top near 100 hPa, they do not represent the complete stratospheric contribution; pressure bands alone do not establish stratospheric origin. Imported material retains a boundary label unless its upstream history is available. Nested-boundary accounting will preserve labels and prevent double counting.</w:t>
      </w:r>
    </w:p>
    <w:p>
      <w:pPr/>
      <w:r>
        <w:rPr>
          <w:b/>
        </w:rPr>
        <w:t>Production controls.</w:t>
      </w:r>
      <w:r>
        <w:rPr/>
        <w:t xml:space="preserve"> Companion tracers repeat a time-invariant CRAC:Be field retaining its latitude–altitude structure. TOP/LATERAL concentrations repeat annual climatologies; realised transfers vary with meteorology and are budgeted. If external source variability cannot be controlled, attribution is restricted to in-domain production labels, with boundary contributions separate. Paired source treatments share meteorology and process settings. Interannual differences at matched calendar times diagnose transport and removal together; boundary seasonality is retained. Wet-setting contrasts then test removal. Production-normalized diagnostics are checked against fixed-source results: scalar correction need not remove latitude-, altitude- or lag-dependent source effects [3].</w:t>
      </w:r>
    </w:p>
    <w:p>
      <w:pPr>
        <w:pStyle w:val="Heading3"/>
      </w:pPr>
      <w:r>
        <w:t>Numerical verification and process budgets</w:t>
      </w:r>
    </w:p>
    <w:p>
      <w:pPr>
        <w:jc w:val="both"/>
      </w:pPr>
      <w:r>
        <w:rPr>
          <w:b/>
        </w:rPr>
        <w:t>Verification tests both source reconstruction and mass balance.</w:t>
      </w:r>
      <w:r>
        <w:rPr/>
        <w:t xml:space="preserve"> Label concentrations, deposition and burdens must sum to the independent total, including after source reweighting. Tests cover numerical limiters and boundary updates. The proposed reconstruction tolerance is below 0.1% above a declared absolute floor and at least ten times smaller than the smallest interpreted response.</w:t>
      </w:r>
    </w:p>
    <w:p>
      <w:pPr>
        <w:jc w:val="both"/>
      </w:pPr>
      <w:r>
        <w:rPr>
          <w:b w:val="0"/>
        </w:rPr>
        <w:t>For each label k and common control volume, an atom inventory Nₖ will be checked against:</w:t>
      </w:r>
    </w:p>
    <w:p>
      <w:pPr>
        <w:jc w:val="center"/>
      </w:pPr>
      <w:r>
        <w:rPr>
          <w:b w:val="0"/>
        </w:rPr>
        <w:t>dNₖ/dt = Pₖ + Fᵢₙ,ₖ − Fₒᵤₜ,ₖ − λNₖ − Lwet,ₖ − Ldry,ₖ + εₖ.</w:t>
      </w:r>
    </w:p>
    <w:p>
      <w:pPr>
        <w:jc w:val="both"/>
      </w:pPr>
      <w:r>
        <w:rPr>
          <w:b w:val="0"/>
        </w:rPr>
        <w:t>P and F are production and transfer rates, L denotes removal, λ is the physical decay constant and ε is the residual. Fluxes and operator losses will be accumulated at model time steps; pressure-band budgets include moving-boundary/rebinning transfers. Whole-domain closure is mandatory. Uninstrumented local terms will be reported as unresolved rather than inferred from concentration gradients.</w:t>
      </w:r>
    </w:p>
    <w:p>
      <w:pPr>
        <w:jc w:val="both"/>
      </w:pPr>
      <w:r>
        <w:rPr/>
        <w:t>Primary outputs are absolute C and D, source fractions Cₖ/Ctotal and Dₖ/Dtotal with denominator floors, and integrated wet losses by origin and pressure band. The removal-rate diagnostic ∫Lwet dt / ∫N dt has inverse-time units. Source reweighting requires verified linear reconstruction; transport interpretation requires explicit boundary and storage budgets.</w:t>
      </w:r>
    </w:p>
    <w:p>
      <w:pPr>
        <w:pStyle w:val="Heading3"/>
        <w:pageBreakBefore/>
      </w:pPr>
      <w:r>
        <w:rPr/>
        <w:t>A fixed experiment matrix over three complete solar cycles</w:t>
      </w:r>
    </w:p>
    <w:p>
      <w:pPr>
        <w:jc w:val="both"/>
      </w:pPr>
      <w:r>
        <w:rPr>
          <w:b/>
        </w:rPr>
        <w:t>1986–2024/2025</w:t>
      </w:r>
      <w:r>
        <w:rPr/>
        <w:t xml:space="preserve"> is the principal simulation window: 39 or 40 calendar years, ending in 2025 where consistent meteorological and production inputs permit, otherwise 2024. It spans complete solar cycles 22–24 (September 1986–December 2019) and the rising and maximum phases of the ongoing cycle 25 [21]. The reference and both wet-removal settings share identical meteorology and years. Evaluation uses the historical record beginning in 1986, the broader coverage from 2006 and the recent 2009–2024 deposition baseline on their usable station-specific intervals. WP1 establishes input continuity and variable-specific observational coverage.</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Time-varying CRAC:Be production;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1986–2024/2025. Reference budgets and direct comparison with available observations.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Same full period and production forcing as R. Prescribed stress contrasts test sensitivity; they are not calibrated improvements or confidence limits.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Reweight UPPER and TOP contributions separately within each removal setting, after linearity tests.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Matched-tag reconstruction over the full period, separately for each source treatment. Supply changes;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Fixed-source partners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Repeat a common production field; control external source variability as specified above.</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All three wet settings, 1986–2024/2025. Interannual atmospheric response under common source forcing.</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Source linearity, band-boundary and spin-up convergence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Bounded pilots. Spin-up precedes the analysed 1986 start; INITIAL influence is checked.</w:t>
            </w:r>
          </w:p>
        </w:tc>
      </w:tr>
    </w:tbl>
    <w:p>
      <w:pPr>
        <w:pStyle w:val="Caption"/>
      </w:pPr>
      <w:r>
        <w:rPr/>
        <w:t>Table 4. Three wet settings over 39/40 years, each with variable- and fixed-production tracers. Their execution and species costs are accounted for in Section 3.1; source reweighting requires verified linearity.</w:t>
      </w:r>
    </w:p>
    <w:p>
      <w:pPr>
        <w:jc w:val="both"/>
      </w:pPr>
      <w:r>
        <w:rPr/>
        <w:t>Wet interventions scale rate coefficients before integration; actual removed mass enters the deposition ledger with positivity maintained. Within each production treatment, production forcing, source masks, decay, dry deposition, meteorology and transport operators are identical across wet settings. The contrasts test represented removal strength rather than an individual scavenging sub-process. WP1 verifies the implementation point and archives the operator tests.</w:t>
      </w:r>
    </w:p>
    <w:p>
      <w:pPr>
        <w:jc w:val="both"/>
      </w:pPr>
      <w:r>
        <w:rPr/>
        <w:t>Supply contrasts retain global production and lateral-input uncertainty as alternative explanations. Each wet setting and production treatment uses its own verified label fields: source reweighting changes supply amplitudes while preserving that experiment’s transport and removal response. Plausible scenarios preserve documented production–boundary dependencies. A supply–removal interaction is measured as a difference of differences in the same output, expressing changing sink exposure.</w:t>
      </w:r>
    </w:p>
    <w:p>
      <w:pPr>
        <w:pStyle w:val="Heading3"/>
      </w:pPr>
      <w:r>
        <w:t>Interannual robustness and independent temporal evaluation</w:t>
      </w:r>
    </w:p>
    <w:p>
      <w:pPr>
        <w:jc w:val="both"/>
      </w:pPr>
      <w:r>
        <w:rPr/>
        <w:t>Before fitting, seasons will be classified by rainfall amount, wet-day frequency, persistence and mixing diagnostics. Matched variable- and fixed-source experiments test wet/dry years and solar phases across 1986–2024/2025. Long station records support within-site temporal comparisons; the broader network supports spatial and regime transfer. Stable-station and stable-method subsets, common observed intervals and fixed aggregation weights will distinguish atmospheric changes from changes in network composition. Results retain the geographic and temporal scope of the observations supporting them.</w:t>
      </w:r>
    </w:p>
    <w:p>
      <w:pPr>
        <w:jc w:val="both"/>
      </w:pPr>
      <w:r>
        <w:rPr/>
        <w:t>Whole-year and multi-year blocks are assigned to selection and locked evaluation using meteorology, solar phase, coverage and collector-method eras before fitting. All wet settings and source treatments cover both sets; realistic-source runs are scored against observations. Earlier and recent records enter on their valid windows, with joint tests restricted to paired coverage. Later-received records follow a pre-registered extension without retuning. Spatial groups account for shared cells, and whole-year resampling tests regime dependence. Daily rainfall supports daily/weekly, rather than sub-hourly, diagnostics.</w:t>
      </w:r>
    </w:p>
    <w:p>
      <w:pPr>
        <w:pStyle w:val="Heading3"/>
        <w:pageBreakBefore/>
      </w:pPr>
      <w:r>
        <w:t>Measurements, discrimination tests and interpretation</w:t>
      </w:r>
    </w:p>
    <w:p>
      <w:pPr>
        <w:jc w:val="both"/>
      </w:pPr>
      <w:r>
        <w:rPr/>
        <w:t>Observations will be linked through station history, measured variable, sample dates, relocations and collection method. DWD metadata [20] identify a 2018 collector transition, which will be retained as a method stratum. Pre-/post-transition and stable-method subsets will be checked separately. Joint tests use quality-controlled paired coverage; single-observable records support the corresponding air-only or deposition-only assessment. The station inventory determines panel size and usable years independently of the 79 preliminary model locations.</w:t>
      </w:r>
    </w:p>
    <w:p>
      <w:pPr>
        <w:jc w:val="both"/>
      </w:pPr>
      <w:r>
        <w:rPr>
          <w:b w:val="0"/>
        </w:rPr>
        <w:t xml:space="preserve">The observation operator averages air activity over collection windows, flow-weighted when possible, in mBq m⁻³, and integrates deposition over its own windows in Bq m⁻². Air and deposition windows need not be identical: each is simulated on its actual support. DWD confirms that collector rinsing includes dry material, so these data require a </w:t>
      </w:r>
      <w:r>
        <w:rPr>
          <w:b/>
        </w:rPr>
        <w:t>bulk-deposition</w:t>
      </w:r>
      <w:r>
        <w:rPr>
          <w:b w:val="0"/>
        </w:rPr>
        <w:t xml:space="preserve"> comparison [20]. Older Bq L⁻¹ records are converted with matching rain depth (L m⁻²); method codes, uncertainty and decay conventions are retained. Collector–grid surface differences enter the representativeness error model. Nondetections are censored observations; missing values are not zeros.</w:t>
      </w:r>
    </w:p>
    <w:p>
      <w:pPr>
        <w:jc w:val="both"/>
      </w:pPr>
      <w:r>
        <w:rPr/>
        <w:t>Realistic, time-varying CRAC:Be responses will be evaluated using air only, deposition only and both. Fixed-production companions diagnose source dependence. Known scenarios generate synthetic measurements with actual gaps, sampling intervals and uncertainty, including cases outside fitted source assumptions. Tests incorporate measurement and representativeness errors, temporal/spatial dependence and model discrepancy; rainfall-related covariance is retained when converting deposition units.</w:t>
      </w:r>
    </w:p>
    <w:p>
      <w:pPr>
        <w:jc w:val="both"/>
      </w:pPr>
      <w:r>
        <w:rPr/>
        <w:t>Uncertainty-scaled sensitivity vectors and singular values screen confounded responses. Low-dimensional likelihood profiles [8] explore source amplitudes and nuisance terms separately at each simulated wet setting. The discrimination map reports recovery probability for prescribed contrasts and detectable source-amplitude bounds. The planned criterion is ≥80% recovery at ≤5% false discrimination in synthetic tests, with simulation uncertainty. Where it is unmet, results report achieved recovery and the range of contrasts remaining indistinguishable.</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t>Environmental radioactivity determines production, decay and collector conventions; transport physics supplies budgets; statistical experiment design tests information content. The disciplines meet in one workflow: each source-resolved simulation is passed through the measurement operator and recovery analysis, linking physical interpretation to observational tests.</w:t>
      </w:r>
    </w:p>
    <w:p>
      <w:pPr>
        <w:jc w:val="both"/>
      </w:pPr>
      <w:r>
        <w:rPr/>
        <w:t>A data-management plan by M3 will define provenance, access, licences and retention. The protocol and withheld blocks will be versioned before fitting. Public outputs include a DOI-archived analysis release, CSV/NetCDF metadata, executable tests and synthetic examples independent of restricted DEHM code or station records. Permitted derived data will accompany manuscripts; private data remain access-controlled. FAIR metadata and open formats support reuse within Europe’s open-science ecosystem [19].</w:t>
      </w:r>
    </w:p>
    <w:p>
      <w:pPr>
        <w:jc w:val="both"/>
      </w:pPr>
      <w:r>
        <w:rPr/>
        <w:t>Sex and gender are not explanatory variables for the atmospheric inventories, fluxes and numerical interventions studied here. The project analyses environmental measurements and model output, with no human exposure, health-outcome or participant data. This assessment will be revisited if the research content changes. Geographic and observational representativeness are addressed through coverage and sampling tests. Inclusive mentoring is described in Section 1.3. The work uses existing records and simulations, with no new radioactive releases or handling.</w:t>
      </w:r>
    </w:p>
    <w:p>
      <w:pPr>
        <w:pStyle w:val="Heading2"/>
        <w:pageBreakBefore/>
      </w:pPr>
      <w:r>
        <w:t>1.3 Quality of the supervision, training and of the two-way transfer of knowledge between the researcher and the host</w:t>
      </w:r>
    </w:p>
    <w:p>
      <w:pPr>
        <w:jc w:val="both"/>
      </w:pPr>
      <w:r>
        <w:rPr/>
        <w:t>Aarhus University (AU), Department of Environmental Science, Roskilde, will host the project with Zhuyun Ye as main supervisor. Her institutional profile documents regional Eulerian modelling and data assimilation [13]; she is a co-author of the CAMS regional production-system description [17]. Three previous one-month research visits and the joint ⁷Be–DEHM implementation [7] provide an established working relationship. The fellowship advances this collaboration toward Chham’s independent experimental design and model-evaluation leadership.</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Controlled process contrasts and targeted inverse-problem training: reviewed synthetic-recovery and uncertainty protocol before observational fitting;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produce a documented research portfolio and follow-on funding concept.</w:t>
            </w:r>
          </w:p>
        </w:tc>
      </w:tr>
    </w:tbl>
    <w:p>
      <w:pPr>
        <w:pStyle w:val="Caption"/>
      </w:pPr>
      <w:r>
        <w:rPr/>
        <w:t>Table 5. Training is assessed through reviewed code, executable methods and independent scientific decisions.</w:t>
      </w:r>
    </w:p>
    <w:p>
      <w:pPr>
        <w:jc w:val="both"/>
      </w:pPr>
      <w:r>
        <w:rPr/>
        <w:t>The supervision plan provides weekly progress meetings and quarterly scientific reviews. In M1, Chham and Ye will agree a career-development plan, including targeted training in inverse problems and uncertainty analysis, reviewed every six months. Chham leads implementation, analysis and documentation; Ye reviews DEHM interventions and scientific interpretation. Before observational fitting, a methodological review will assess synthetic recovery, uncertainty and scoring. Ye will coordinate the appropriate expertise through the training plan.</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t>Essaid Chham is a postdoctoral researcher at Universidad Miguel Hernández, with doctorates in Chemistry (Granada, 2018) and Physics (Abdelmalek Essaâdi, 2019), Erasmus Mundus experience and María Zambrano/APOSTD postdoctoral periods, detailed in Part B2. His combination of Monte Carlo modelling, environmental radioactivity and atmospheric analysis matches the project’s integration of source physics, numerical tracers and observations.</w:t>
      </w:r>
    </w:p>
    <w:p>
      <w:pPr>
        <w:jc w:val="both"/>
      </w:pPr>
      <w:r>
        <w:rPr/>
        <w:t>His research on ⁷Be prediction [10], sampling-interval effects in CWT/PSCF [11] and Open-AMA software [12] demonstrates measurement-aware analysis and reproducibility. DEHM, Fortran, R/Python and NetCDF experience provides the implementation base, complemented by teaching and supervision described in Part B2. The fellowship develops his ability to design controlled model experiments, quantify competing explanations and lead their scientific evaluation.</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t>The career objective is an independent research line in atmospheric transport and aerosol-process evaluation, supported by the ability to lead model development and environmental-assessment projects. Training in source budgets and uncertainty analysis will extend Chham’s radioactivity expertise into experimental design and process inference. By M24, he will lead a reusable diagnostic release, target two lead-author manuscript submissions and prepare a follow-on research proposal. Developer demonstrations and practical teaching will provide evidence of technical leadership and knowledge transfer. Six-month reviews will assess these outputs, independent design decisions and progress toward academic or applied atmospheric-modelling positions.</w:t>
      </w:r>
    </w:p>
    <w:p>
      <w:pPr>
        <w:pStyle w:val="Heading2"/>
        <w:pageBreakBefore/>
      </w:pPr>
      <w:r>
        <w:t>2.2 Suitability and quality of the measures to maximise expected outcomes and impacts, as set out in the dissemination and exploitation plan, including communication activities</w:t>
      </w:r>
    </w:p>
    <w:p>
      <w:pPr>
        <w:jc w:val="both"/>
      </w:pPr>
      <w:r>
        <w:rPr>
          <w:b w:val="0"/>
        </w:rPr>
        <w:t>Dissemination will reach atmospheric modellers and environmental-radioactivity researchers; exploitation will prioritise a usable diagnostic method; communication will explain why a model can match measurements for the wrong reasons. Each activity has a defined audience, product and check of usefulness.</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Two manuscripts on multidecadal source/removal budgets and observational discrimination/transfer. Preprints, open-access routes and at least one conference contribution. Track submissions, DOI releases and feedback.</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 and M22</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Demonstrate the benchmark and deliver a developer note with supported changes, alternative explanations and regression tests. Record feedback and reproduction effort; target one re-run by a user other than the fellow.</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observing-value brief on where paired deposition adds information and when finer sampling helps. Invite feedback from DWD and other relevant monitoring specialists.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open worked example, two practical training sessions and an accessible brief on natural radiotracers and model uncertainty. Assess attendance, questions and tutorial completion.</w:t>
            </w:r>
          </w:p>
        </w:tc>
      </w:tr>
    </w:tbl>
    <w:p>
      <w:pPr>
        <w:pStyle w:val="Caption"/>
      </w:pPr>
      <w:r>
        <w:rPr/>
        <w:t>Table 6. Products, target audiences and measures of use guide dissemination and exploitation throughout the fellowship.</w:t>
      </w:r>
    </w:p>
    <w:p>
      <w:pPr>
        <w:jc w:val="both"/>
      </w:pPr>
      <w:r>
        <w:rPr/>
        <w:t>The analysis layer will define input schemas, units, sample-window metadata, tests and a permitted-use licence. A synthetic benchmark will reproduce the workflow independently of confidential inputs, supporting external review and later adaptation to other models. Versioned releases will distinguish host-owned model code from reusable analysis tools. The DEHM development team is the first user group; feedback from demonstrations and an independent re-run will guide the final release.</w:t>
      </w:r>
    </w:p>
    <w:p>
      <w:pPr>
        <w:pStyle w:val="Heading2"/>
      </w:pPr>
      <w:r>
        <w:t>2.3 The magnitude and importance of the project’s contribution to the expected scientific, societal and economic impacts</w:t>
      </w:r>
    </w:p>
    <w:p>
      <w:pPr>
        <w:jc w:val="both"/>
      </w:pPr>
      <w:r>
        <w:rPr>
          <w:b/>
        </w:rPr>
        <w:t>Scientific impact.</w:t>
      </w:r>
      <w:r>
        <w:rPr/>
        <w:t xml:space="preserve"> STRAT-TRACE will deliver a verified framework linking ⁷Be source budgets to the ability of real observations to discriminate atmospheric explanations. Three wet-removal settings with variable/fixed production over 1986–2024/2025 test robustness across three complete solar cycles. The early station record adds temporal reach, while the wider network from 2006 tests spatial transfer on valid observed intervals. The resulting map will show where paired deposition adds information, which explanations remain compatible with measurements and what further sampling would resolve them.</w:t>
      </w:r>
    </w:p>
    <w:p>
      <w:pPr>
        <w:jc w:val="both"/>
      </w:pPr>
      <w:r>
        <w:rPr>
          <w:b/>
        </w:rPr>
        <w:t>Technological and environmental-assessment pathway.</w:t>
      </w:r>
      <w:r>
        <w:rPr/>
        <w:t xml:space="preserve"> DEHM contributes to the CAMS regional air-quality system [17]. Its developers will receive an executable benchmark, a reviewed demonstration and regression tests to assess whether model changes improve concentration and deposition consistently. These outputs can focus development on supported process explanations and reduce uninformative tuning. Usability, re-run effort and successful independent reproduction will be assessed through developer feedback. Transfer to pollutant forecasting remains a subsequent validation step.</w:t>
      </w:r>
    </w:p>
    <w:p>
      <w:pPr>
        <w:jc w:val="both"/>
      </w:pPr>
      <w:r>
        <w:rPr>
          <w:b/>
        </w:rPr>
        <w:t>Societal and European relevance.</w:t>
      </w:r>
      <w:r>
        <w:rPr/>
        <w:t xml:space="preserve"> More credible aerosol-process evaluation strengthens the evidence used in air-quality and ecosystem assessments, consistent with the EU Zero Pollution Action Plan [18]. The observing-value brief will help monitoring specialists assess where paired measurements or finer sampling can improve inference. FAIR releases and reusable examples [19] make these methods accessible beyond the host team. Wider environmental and economic benefits depend on subsequent adoption and validated transfer to relevant pollutants.</w:t>
      </w:r>
    </w:p>
    <w:p>
      <w:pPr>
        <w:pStyle w:val="Heading1"/>
        <w:pageBreakBefore/>
      </w:pPr>
      <w:r>
        <w:t>3. Quality and Efficiency of the Implementation</w:t>
      </w:r>
    </w:p>
    <w:p>
      <w:pPr>
        <w:pStyle w:val="Heading2"/>
      </w:pPr>
      <w:r>
        <w:t>3.1 Quality and effectiveness of the work plan, assessment of risks and appropriateness of the effort assigned to work packages</w:t>
      </w:r>
    </w:p>
    <w:p>
      <w:pPr>
        <w:jc w:val="both"/>
      </w:pPr>
      <w:r>
        <w:rPr/>
        <w:t>The 24-month work plan links verified labels, matched production/removal experiments over 1986–2024/2025 and independent evaluation of historical and recent observations. Existing computational access supports immediate preparation and pilot tests. MS1 at M4 verifies source controls, budgets, input continuity and the resource schedule before long production runs. Reference output follows by M9 and the full response library by M15, leaving time for evaluation and release.</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Verify labels, source/boundary controls and spin-up; audit 1986–2024/2025 inputs, station histories from 1986 and wider coverage from 2006; benchmark resources and lock blocks. D1: source/measurement protocol and data-management plan.</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MS1, M4: numerical checks pass; inputs, source controls and resource schedule verified; evaluation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tagged R and its fixed-production partner over 1986–2024/2025; assess solar-phase and regime coverage. D2: paired source-treatment datasets and origin budgets.</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MS2, M9: reference budgets verified; totals reconstructed. H1 contrasts follow in WP3.</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W−/W+ and fixed-production partners over the same years; reweight sources and verify budgets. D3: source–removal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MS3, M15: H1/H2 assessed; held-out cases retained.</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Recovery tests and locked evaluation on valid historical/recent intervals; compare stable-station/method subsets and source controls.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reusable release, methods materials and career portfolio.</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t>Table 7. Total effort is 24 person-months (PM), distributed across overlapping work packages. WP2 begins with preparation; long production runs follow MS1. Deliverables and milestones retain a single-researcher workload.</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t>Gantt chart. Filled cells indicate activity during all or part of each interval. D1–D5 correspond to MS1–MS5; the data-management plan is due in M3.</w:t>
      </w:r>
    </w:p>
    <w:p>
      <w:pPr>
        <w:pStyle w:val="Heading3"/>
      </w:pPr>
      <w:r>
        <w:t>Execution budget and control of scope</w:t>
      </w:r>
    </w:p>
    <w:p>
      <w:pPr>
        <w:jc w:val="both"/>
      </w:pPr>
      <w:r>
        <w:rPr/>
        <w:t>Three wet settings over 39/40 years require 117/120 configuration-years with time-varying production. Fixed-production companions run concurrently as additional species where supported; separate execution adds 117/120 diagnostic configuration-years. Pre-1986 spin-up is additional. WP1 benchmarks contrasting wet/dry and seasonal months with all 14 tracers, online budgets and input/output. Measured core-hours, elapsed time, memory and storage are extrapolated to the full matrix, spin-up and a separate 20% restart/verification reserve. MS1 checks the estimate against available capacity and the M9/M15 deadlines. One meteorological archive serves every setting.</w:t>
      </w:r>
    </w:p>
    <w:p>
      <w:pPr>
        <w:pStyle w:val="Heading3"/>
        <w:pageBreakBefore/>
      </w:pPr>
      <w:r>
        <w:t>Delivery risks and scientific decision branches</w:t>
      </w:r>
    </w:p>
    <w:p>
      <w:pPr>
        <w:jc w:val="both"/>
      </w:pPr>
      <w:r>
        <w:rPr/>
        <w:t>The risk plan protects delivery while preserving the interpretation of inconclusive tests. A regime with weak discrimination still yields measured response limits and an observing-value assessment; inadequate information across the whole network would constrain the empirical contribution. The qualitative ratings below will be updated at each milestone.</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Inventory variables, station gaps and collector eras, including the DWD 2018 transition. Use valid pairs for joint tests and stable subsets for temporal comparisons. Assess early single-site evidence separately from wider-network transfer. Redesign if core paired coverage is inadequate.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Early synthetic tests evaluate the actual observing design. Report compatible scenarios and tested discrimination bounds; quantify the information added by alternative sampling. Preserve verified source-budget results and the geographic scope of inference.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I/O, archive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Audit the historical inputs and benchmark all companion tracers in WP1. Use checkpoints, online sums and the costed reserve. Preserve three wet settings and both source treatments; any unavoidable period revision explicitly updates solar-cycle coverage and evaluation blocks.</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Separate air/deposition scores and source/discrepancy tests expose compensation. Deliver the rejected explanation and its regression test; retain the locked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t>AU’s Department of Environmental Science develops atmospheric transport, chemistry and deposition models across scales [14,15]. Its DEHM contribution to CAMS [17] and the joint ⁷Be implementation [7] give the host the scientific expertise and developer connections needed for this project. The reduced-chemistry research configuration supports controlled diagnostics, with any later operational changes assessed in their relevant pollutant and forecasting configurations.</w:t>
      </w:r>
    </w:p>
    <w:p>
      <w:pPr>
        <w:jc w:val="both"/>
      </w:pPr>
      <w:r>
        <w:rPr/>
        <w:t>The existing computational access and DEHM workflow allow preparation and numerical verification from the start of the fellowship. Chham will assemble the 1986–2024/2025 meteorological and production inputs, record boundary forcing and spin-up requirements, and complete the performance assessment in WP1. Ye will review model configuration, resource scheduling and scientific decisions through the supervision plan. Long simulations begin after MS1 establishes the input archive and a feasible execution schedule.</w:t>
      </w:r>
    </w:p>
    <w:p>
      <w:pPr>
        <w:jc w:val="both"/>
      </w:pPr>
      <w:r>
        <w:rPr/>
        <w:t>Hourly receptor series and online pressure-band/regional budgets cover the full simulation period for both source treatments. Detailed 3-D fields are saved for selected episodes, with checkpoints supporting recovery. WP1 establishes storage requirements, archive retention and access permissions in the data-management plan. This output strategy preserves source controls, matched periods and independent evaluation while limiting storage and processing demands.</w:t>
      </w:r>
    </w:p>
    <w:p>
      <w:pPr>
        <w:pStyle w:val="Heading1"/>
        <w:pageBreakBefore/>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GEOS-Chem Classic documentation. TransportTracers simulation, Be7/Be7s entries. geos-chem.readthedocs.io/en/stable/geos-chem-shared-docs/simulations/transport-tracers.html (accessed 7 September 2026).</w:t>
      </w:r>
    </w:p>
    <w:p>
      <w:pPr>
        <w:spacing w:after="80"/>
        <w:jc w:val="left"/>
      </w:pPr>
      <w:r>
        <w:rPr>
          <w:b w:val="0"/>
          <w:sz w:val="18"/>
        </w:rPr>
        <w:t>[17]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[18] European Commission. Zero Pollution Action Plan. environment.ec.europa.eu/strategy/zero-pollution-action-plan_en (accessed 7 September 2026).</w:t>
      </w:r>
    </w:p>
    <w:p>
      <w:pPr>
        <w:spacing w:after="80"/>
        <w:jc w:val="left"/>
      </w:pPr>
      <w:r>
        <w:rPr>
          <w:b w:val="0"/>
          <w:sz w:val="18"/>
        </w:rPr>
        <w:t>[19] European Commission. European Open Science Cloud (EOSC). research-and-innovation.ec.europa.eu/strategy/strategy-research-and-innovation/our-digital-future/open-science/european-open-science-cloud-eosc_en (accessed 7 September 2026).</w:t>
      </w:r>
    </w:p>
    <w:p>
      <w:pPr>
        <w:spacing w:after="80"/>
        <w:jc w:val="left"/>
      </w:pPr>
      <w:r>
        <w:rPr>
          <w:sz w:val="18"/>
        </w:rPr>
        <w:t>[20] Haas-van den Heuvel, R., DWD, and Chham, E. (March–May 2026). “Request for 7Be in rainwater data.” Personal communication on co-located sampling, daily rainfall since 2009, collector and unit changes, and inclusion of dry deposition.</w:t>
      </w:r>
    </w:p>
    <w:p>
      <w:pPr>
        <w:spacing w:after="80"/>
        <w:jc w:val="left"/>
      </w:pPr>
      <w:r>
        <w:rPr>
          <w:b w:val="0"/>
          <w:sz w:val="18"/>
        </w:rPr>
        <w:t>[21] SILSO, Royal Observatory of Belgium. Solar Cycles Min/Max, Version 2 sunspot series. www.sidc.be/index.php/SILSO/cyclesminmax (accessed 7 September 2026). Cycles 22–25 begin in September 1986, August 1996, December 2008 and December 2019, respectively. Cycle 25 has its listed maximum in October 2024 and remains incomplete.</w:t>
      </w:r>
    </w:p>
    <w:sectPr w:rsidR="00FC693F" w:rsidRPr="0006063C" w:rsidSect="00034616">
      <w:headerReference w:type="default" r:id="rId9"/>
      <w:footerReference w:type="default" r:id="rId10"/>
      <w:footerReference w:type="first" r:id="rId11"/>
      <w:footerReference w:type="even" r:id="rId12"/>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STRAT-TRACE · Part B1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B7C1CA"/>
      </w:pBdr>
    </w:pPr>
    <w:r>
      <w:rPr>
        <w:sz w:val="17"/>
      </w:rPr>
      <w:t>STRAT-TRACE  |  Essaid Chham · Aarhus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MSCA Postdoctoral Fellowship</dc:title>
  <dc:subject>Controlled DEHM experiments and historical beryllium-7 observations</dc:subject>
  <dc:creator>Essaid Chham</dc:creator>
  <cp:keywords>STRAT-TRACE; MSCA; DEHM; beryllium-7; atmospheric transport; deposition</cp:keywords>
  <dc:description/>
  <cp:lastModifiedBy/>
  <cp:revision>4</cp:revision>
  <dcterms:created xsi:type="dcterms:W3CDTF">2013-12-23T23:15:00Z</dcterms:created>
  <dcterms:modified xsi:type="dcterms:W3CDTF">2013-12-23T23:15:00Z</dcterms:modified>
  <cp:category/>
  <cp:version>9.4</cp:version>
</cp:coreProperties>
</file>