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t>Supervisor: Zhuyun Ye | Part B1</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Scientific contribution.</w:t>
      </w:r>
      <w:r>
        <w:rPr/>
        <w:t xml:space="preserve"> STRAT-TRACE will establish when joint observations of airborne and deposited ⁷Be can distinguish changes in upper-atmospheric supply from changes in wet removal. Controlled DEHM experiments will link each explanation to a verified source budget and test its support across observed years and sampling regimes.</w:t>
      </w:r>
    </w:p>
    <w:p>
      <w:pPr>
        <w:jc w:val="both"/>
      </w:pPr>
      <w:r>
        <w:rPr/>
        <w:t>Air-quality model development needs tests that explain why a simulation agrees with measurements. Using the existing beryllium-7 (⁷Be) implementation in the Danish Eulerian Hemispheric Model (DEHM), STRAT-TRACE will deliver a reusable benchmark showing which process explanations the observations support, exclude or leave indistinguishable. The objectives progress from verified source budgets (O1) to discrimination of supply–removal explanations (O2) and transfer across years and observing regimes (O3).</w:t>
      </w:r>
    </w:p>
    <w:p>
      <w:pPr>
        <w:jc w:val="both"/>
      </w:pPr>
      <w:r>
        <w:rPr/>
        <w:t>For particle-bound ⁷Be, production, boundary supply, transport, radioactive decay and deposition jointly determine the measured signal [1–3]. Air concentration and deposition provide complementary constraints, while production uncertainty and precipitation regime shape their interpretation [1–4]. Source labels quantify model contributions; independent observations test whether their responses can be distinguished after accounting for sampling and uncertainty.</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 compact within-DEHM experiment set with identical meteorology and independent evaluation, yielding a protocol reusable in other modelling systems.</w:t>
            </w:r>
          </w:p>
        </w:tc>
      </w:tr>
    </w:tbl>
    <w:p>
      <w:pPr>
        <w:pStyle w:val="Caption"/>
      </w:pPr>
      <w:r>
        <w:rPr>
          <w:b w:val="0"/>
        </w:rPr>
        <w:t>Table 1. Novelty is the integrated, observation-aware test of process explanations; individual tracer and statistical tools are established.</w:t>
      </w:r>
    </w:p>
    <w:p>
      <w:pPr>
        <w:jc w:val="both"/>
      </w:pPr>
      <w:r>
        <w:rPr/>
        <w:t>The benchmark will identify which measurement combinations and regimes provide useful constraints on aerosol processes. DEHM contributes to the European CAMS regional air-quality system [17], giving its developers a direct route to evaluate these diagnostics. The practical output is a documented basis for prioritising process tests and assessing whether apparent concentration improvements conceal deposition errors.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Test whether contrasts exceed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H2: joint air–deposition observations discriminate scenarios that air-only evaluation leaves unresolved. Compare recovery at the same controlled false-discrimination rate and quantify the added information from deposition.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years and regimes. Fixed-production controls test source dependence. Assess transfer using separate air/deposition scores and pre-specified uncertainty tolerances.</w:t>
            </w:r>
          </w:p>
        </w:tc>
      </w:tr>
    </w:tbl>
    <w:p>
      <w:pPr>
        <w:jc w:val="both"/>
      </w:pPr>
      <w:r>
        <w:rPr/>
        <w:t>The hypotheses compare wet removal with alternative explanations involving production, upper and lateral boundary supply, and measurement representativeness. Success requires verified response budgets and a reproducible assessment of observational support. Where explanations remain indistinguishable, the benchmark will quantify the tested discrimination limits and the additional observing information needed to separate them.</w:t>
      </w:r>
    </w:p>
    <w:p>
      <w:pPr>
        <w:pStyle w:val="Heading3"/>
      </w:pPr>
      <w:r>
        <w:rPr/>
        <w:t>Existing implementation and observational preparation</w:t>
      </w:r>
    </w:p>
    <w:p>
      <w:pPr>
        <w:jc w:val="both"/>
      </w:pPr>
      <w:r>
        <w:rPr/>
        <w:t>Chham and Ye have implemented ⁷Be in DEHM. Their EGU 2026 abstract documents production mapping, WRF/ERA5 meteorology, aerosol-bound treatment and surface evaluation [7]. The applicant’s preparatory comparison of model resolutions motivates the controlled experiments:</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t>Table 2. Applicant’s preliminary JJA analysis, 2009–2024, 79 model sampling locations. Each response is 100 × (fine/coarse − 1) from paired seasonal means, followed by a spatial median. Locations may share grid cells. These model contrasts define tracer supply and removal exposure as processes to test.</w:t>
      </w:r>
    </w:p>
    <w:p>
      <w:pPr>
        <w:jc w:val="both"/>
      </w:pPr>
      <w:r>
        <w:rPr/>
        <w:t>Greater deposition with lower precipitation identifies tracer availability and removal exposure as processes to test. STRAT-TRACE will resolve this question through controlled interventions and independent observational evaluation, extending the existing implementation and evaluation work to process discrimination.</w:t>
      </w:r>
    </w:p>
    <w:p>
      <w:pPr>
        <w:jc w:val="both"/>
      </w:pPr>
      <w:r>
        <w:rPr/>
        <w:t>The European air-concentration archive was obtained primarily through the European Commission’s Joint Research Centre (JRC), retaining attribution to originating national programmes [22]. Initial screening identifies over 54,000 airborne records from 83 named station series during 2009–2024. Four series occur in 1986: Berlin, Braunschweig, Risø and Wien-Hohe Warte, with broader coverage from 2006. Deutscher Wetterdienst (DWD) records add aerosol and deposition measurements and station/method metadata; 2009–2024 remains the baseline for joint evaluation [20]. Chham and Ye have signed a data-access agreement with the Comprehensive Nuclear-Test-Ban Treaty Organization (CTBTO) for an international airborne ⁷Be extension; delivery is pending [23]. WP1 verifies usable coverage, including station continuity and overlaps; further DWD historical recovery is ongoing.</w:t>
      </w:r>
    </w:p>
    <w:p>
      <w:pPr>
        <w:pStyle w:val="Heading3"/>
      </w:pPr>
      <w:r>
        <w:rPr/>
        <w:t>A focused design for a 24 month fellowship</w:t>
      </w:r>
    </w:p>
    <w:p>
      <w:pPr>
        <w:jc w:val="both"/>
      </w:pPr>
      <w:r>
        <w:rPr/>
        <w:t>The project uses DEHM alone, with reduced chemistry and AU-confirmed computational resources supporting matched experiments over 1986–2024/2025. Variable and fixed production distinguish source variability from atmospheric response across three complete solar cycles. Long station records support temporal tests, while the wider network supports spatial and regime comparisons. The bounded design uses the existing implementation and measurements, with three wet-removal settings and common forcing. It tests process robustness across historical conditions; climate-change attribution is outside its scope.</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rPr/>
        <w:t>One physical tracer with explicit source and boundary accounting</w:t>
      </w:r>
    </w:p>
    <w:p>
      <w:pPr>
        <w:jc w:val="both"/>
      </w:pPr>
      <w:r>
        <w:rPr/>
        <w:t>The reference is the team’s reduced-chemistry DEHM–WRF/ERA5 workflow at 75 km, with 29 layers and a top near 100 hPa [7]. Transport, mixing, physical decay and wet/dry deposition are retained. Code, process operators, aerosol treatment and CRAC:Be formulation [3,9] will be documented and held constant across experiments. Observation-facing runs use time-varying production driven by archived solar-modulation and geomagnetic inputs. Layer 1 is the surface.</w:t>
      </w:r>
    </w:p>
    <w:p>
      <w:pPr>
        <w:jc w:val="both"/>
      </w:pPr>
      <w:r>
        <w:rPr/>
        <w:t>Production P(x,t) is partitioned by non-negative masks wₖ, with Σₖwₖ = 1 and Pₖ = wₖP. Labels share transport, decay and deposition, recording production region or boundary entry rather than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Realised upper and lateral exchanges, separately budgeted from production within resolved cells. TOP follows the prescribed upper concentration; boundary additions and withdrawals are accounted for.</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t xml:space="preserve">At the upper boundary, </w:t>
      </w:r>
      <m:oMath>
        <m:sSub>
          <m:e>
            <m:r>
              <w:rPr>
                <w:rFonts w:ascii="Cambria Math" w:hAnsi="Cambria Math"/>
                <w:sz w:val="22"/>
              </w:rPr>
              <m:t>n</m:t>
            </m:r>
          </m:e>
          <m:sub>
            <m:r>
              <w:rPr>
                <w:rFonts w:ascii="Cambria Math" w:hAnsi="Cambria Math"/>
                <w:sz w:val="22"/>
              </w:rPr>
              <m:t>top</m:t>
            </m:r>
          </m:sub>
        </m:sSub>
        <m:r>
          <w:rPr>
            <w:rFonts w:ascii="Cambria Math" w:hAnsi="Cambria Math"/>
            <w:sz w:val="22"/>
          </w:rPr>
          <m:t> = </m:t>
        </m:r>
        <m:sSub>
          <m:e>
            <m:r>
              <w:rPr>
                <w:rFonts w:ascii="Cambria Math" w:hAnsi="Cambria Math"/>
                <w:sz w:val="22"/>
              </w:rPr>
              <m:t>Q</m:t>
            </m:r>
          </m:e>
          <m:sub>
            <m:r>
              <w:rPr>
                <w:rFonts w:ascii="Cambria Math" w:hAnsi="Cambria Math"/>
                <w:sz w:val="22"/>
              </w:rPr>
              <m:t>CRAC</m:t>
            </m:r>
          </m:sub>
        </m:sSub>
        <m:r>
          <w:rPr>
            <w:rFonts w:ascii="Cambria Math" w:hAnsi="Cambria Math"/>
            <w:sz w:val="22"/>
          </w:rPr>
          <m:t>(100 hPa, φ, t)/</m:t>
        </m:r>
        <m:sSub>
          <m:e>
            <m:r>
              <w:rPr>
                <w:rFonts w:ascii="Cambria Math" w:hAnsi="Cambria Math"/>
                <w:sz w:val="22"/>
              </w:rPr>
              <m:t>λ</m:t>
            </m:r>
          </m:e>
          <m:sub>
            <m:r>
              <w:rPr>
                <w:rFonts w:ascii="Cambria Math" w:hAnsi="Cambria Math"/>
                <w:sz w:val="22"/>
              </w:rPr>
              <m:t>7</m:t>
            </m:r>
          </m:sub>
        </m:sSub>
      </m:oMath>
      <w:r>
        <w:rPr/>
        <w:t xml:space="preserve"> is prescribed in atoms kg⁻¹ of air; Q is local production in atoms kg⁻¹ s⁻¹ and λ₇ is the decay constant in s⁻¹. This local production–decay equilibrium approximation retains latitude and solar dependence. TOP tracks the realised boundary contribution separately from in-domain production. Production and circulation above the ceiling remain unresolved; UPPER + TOP is not the complete stratospheric contribution, since pressure bands and entry routes do not establish origin.</w:t>
      </w:r>
    </w:p>
    <w:p>
      <w:pPr/>
      <w:r>
        <w:rPr>
          <w:b/>
        </w:rPr>
        <w:t>Production controls.</w:t>
      </w:r>
      <w:r>
        <w:rPr/>
        <w:t xml:space="preserve"> Companion tracers use a time-invariant CRAC:Be field retaining latitude–altitude structure, with TOP concentration derived from that same field divided by λ₇. LATERAL repeats an annual concentration climatology; realised exchanges remain meteorology-dependent and are budgeted. If lateral variability cannot be controlled, attribution is restricted to in-domain labels and TOP. Paired treatments share meteorology and process settings. Matched-calendar interannual contrasts diagnose transport and removal together, retaining lateral seasonality; wet-setting contrasts test removal. Normalized diagnostics are checked against fixed-source results for spatial and lag-dependent source effects [3].</w:t>
      </w:r>
    </w:p>
    <w:p>
      <w:pPr>
        <w:pStyle w:val="Heading3"/>
      </w:pPr>
      <w:r>
        <w:t>Numerical verification and process budgets</w:t>
      </w:r>
    </w:p>
    <w:p>
      <w:pPr>
        <w:jc w:val="both"/>
      </w:pPr>
      <w:r>
        <w:rPr>
          <w:b/>
        </w:rPr>
        <w:t>Verification tests source reconstruction and mass balance.</w:t>
      </w:r>
      <w:r>
        <w:rPr/>
        <w:t xml:space="preserve"> Labels must reconstruct total concentration, deposition and burden, including after reweighting. Tests cover units, limiters, boundary updates and nested-label transfer, separating boundary inventory changes from production in resolved cells. The proposed tolerance is below 0.1% above a declared absolute floor and ten times smaller than the smallest interpreted response.</w:t>
      </w:r>
    </w:p>
    <w:p>
      <w:pPr>
        <w:jc w:val="both"/>
      </w:pPr>
      <w:r>
        <w:rPr/>
        <w:t>For each label k and common control volume, the inventory Nₖ (total atoms) will satisfy:</w:t>
      </w:r>
    </w:p>
    <w:p>
      <w:pPr>
        <w:jc w:val="center"/>
      </w:pPr>
      <w:r>
        <w:rPr>
          <w:b w:val="0"/>
        </w:rPr>
        <w:t>dNₖ/dt = Pₖ + Fᵢₙ,ₖ − Fₒᵤₜ,ₖ − λNₖ − Lwet,ₖ − Ldry,ₖ + εₖ.</w:t>
      </w:r>
    </w:p>
    <w:p>
      <w:pPr>
        <w:jc w:val="both"/>
      </w:pPr>
      <w:r>
        <w:rPr/>
        <w:t>P and F are production and transfer rates, L denotes removal and ε the residual. Time-step ledgers retain origin labels across pressure bands and pair internal transfers with equal and opposite entries, including moving-boundary/rebinning terms. Boundary inventory adjustments and operator losses are recorded without double counting resolved production. Whole-domain closure is mandatory; unresolved local terms are reported explicitly.</w:t>
      </w:r>
    </w:p>
    <w:p>
      <w:pPr>
        <w:jc w:val="both"/>
      </w:pPr>
      <w:r>
        <w:rPr/>
        <w:t>Primary outputs are absolute C and D, source fractions Cₖ/Ctotal and Dₖ/Dtotal with denominator floors, and integrated wet losses by origin and pressure band. The removal-rate diagnostic ∫Lwet dt / ∫N dt has inverse-time units. Source reweighting requires verified linear reconstruction; transport interpretation requires explicit boundary and storage budgets.</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inputs permit, otherwise 2024. It spans complete solar cycles 22–24 (September 1986–December 2019) and the rising and maximum phases of the ongoing cycle 25 [21]. All settings share meteorology and years. Records from 1986–2005 support temporal tests across solar phases within verified station segments; the denser later network supports spatial transfer and joint concentration–deposition tests centred on the 2009–2024 deposition baseline. WP1 verifies input continuity and observational coverage; the contingency in Section 3.1 preserves matched experiments.</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and linked upper-boundary concentration;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Prescribed stress contrasts test sensitivity; they are not calibrated improvements or confidence limits.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Reweight UPPER and TOP after linearity tests, preserving production–TOP links for source scenarios; TOP-only contrasts test the boundary approximation.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and its linked TOP concentration; control LATERAL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concentration/production units, boundary updates, pressure-band and spin-up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production, prescribed boundary concentrations, source masks, decay, dry deposition, meteorology and transport operators are identical across wet settings. The contrasts test represented removal strength rather than an individual scavenging sub-process. WP1 verifies the implementation point and archives the operator tests.</w:t>
      </w:r>
    </w:p>
    <w:p>
      <w:pPr>
        <w:jc w:val="both"/>
      </w:pPr>
      <w:r>
        <w:rPr/>
        <w:t>Supply contrasts include production and lateral-input uncertainty as alternative explanations. Reweighting uses each wet setting’s verified label fields, preserving its transport and removal response. Production-consistent scenarios propagate changes in CRAC:Be production at 100 hPa to TOP through the equilibrium relation; TOP-only contrasts test the boundary approximation. A supply–removal interaction is measured as a difference of differences in the same output, expressing changing sink exposure.</w:t>
      </w:r>
    </w:p>
    <w:p>
      <w:pPr>
        <w:pStyle w:val="Heading3"/>
      </w:pPr>
      <w:r>
        <w:t>Interannual robustness and independent temporal evaluation</w:t>
      </w:r>
    </w:p>
    <w:p>
      <w:pPr>
        <w:jc w:val="both"/>
      </w:pPr>
      <w:r>
        <w:rPr/>
        <w:t>Before fitting, seasons will be classified by rainfall amount, wet-day frequency, persistence and mixing diagnostics. Matched variable- and fixed-source experiments test wet/dry years and solar phases across 1986–2024/2025. Long station records support within-site temporal comparisons; the broader network supports spatial and regime transfer. Stable-station and stable-method subsets, common observed intervals and fixed aggregation weights will distinguish atmospheric changes from changes in network composition. Results retain the geographic and temporal scope of the observations supporting them.</w:t>
      </w:r>
    </w:p>
    <w:p>
      <w:pPr>
        <w:jc w:val="both"/>
      </w:pPr>
      <w:r>
        <w:rPr/>
        <w:t>Whole-year and multi-year blocks are assigned to selection and locked evaluation using meteorology, solar phase, coverage and collector-method eras before fitting. All wet settings and source treatments cover both sets; realistic-source runs are scored against observations. Earlier and recent records enter on their valid windows, with joint tests restricted to paired coverage. Later-received records follow a pre-registered extension without retuning. Spatial groups account for shared cells, and whole-year resampling tests regime dependence. Daily rainfall supports daily/weekly, rather than sub-hourly, diagnostics.</w:t>
      </w:r>
    </w:p>
    <w:p>
      <w:pPr>
        <w:pStyle w:val="Heading3"/>
        <w:pageBreakBefore/>
      </w:pPr>
      <w:r>
        <w:t>Measurements, discrimination tests and interpretation</w:t>
      </w:r>
    </w:p>
    <w:p>
      <w:pPr>
        <w:jc w:val="both"/>
      </w:pPr>
      <w:r>
        <w:rPr/>
        <w:t>CTBTO air records are expected mainly from around 2000, including sites in Europe, North America and Asia; WP1 will establish actual station-years within DEHM coverage. Provenance, sample windows and station histories will identify overlapping records across JRC, DWD and CTBTO before panel selection. DWD’s 2018 collector transition remains a method stratum [20], with stable-method subsets checked separately. Joint tests retain valid air–deposition pairs; additional air-only sites test concentration and spatial transfer. The inventory defines usable coverage independently of the 79 preliminary model locations.</w:t>
      </w:r>
    </w:p>
    <w:p>
      <w:pPr>
        <w:jc w:val="both"/>
      </w:pPr>
      <w:r>
        <w:rPr/>
        <w:t>Modelled atoms kg⁻¹ are converted to air activity using the decay constant and matching air density. The observation operator averages activity over collection windows, flow-weighted when possible, in mBq m⁻³, and integrates deposition over its own windows in Bq m⁻². Fluxes match the documented collector response, including wet-plus-dry deposition for bulk collectors [20]. Older Bq L⁻¹ records require matching rain depth (L m⁻²); method, uncertainty and decay conventions are retained. Collector–grid differences enter representativeness error. Nondetections are censored; missing values are not zeros.</w:t>
      </w:r>
    </w:p>
    <w:p>
      <w:pPr>
        <w:jc w:val="both"/>
      </w:pPr>
      <w:r>
        <w:rPr/>
        <w:t>Realistic, time-varying CRAC:Be responses will be evaluated using air only, deposition only and both. Fixed-production companions diagnose source dependence. Known scenarios generate synthetic measurements with actual gaps, sampling intervals and uncertainty, including cases outside fitted source assumptions. Tests incorporate measurement and representativeness errors, temporal/spatial dependence and model discrepancy; rainfall-related covariance is retained when converting deposition units.</w:t>
      </w:r>
    </w:p>
    <w:p>
      <w:pPr>
        <w:jc w:val="both"/>
      </w:pPr>
      <w:r>
        <w:rPr/>
        <w:t>Uncertainty-scaled sensitivity vectors and singular values screen confounded responses. Low-dimensional likelihood profiles [8] explore source amplitudes and nuisance terms separately at each simulated wet setting. The discrimination map reports recovery probability for prescribed contrasts and detectable source-amplitude bounds. The planned criterion is ≥80% recovery at ≤5% false discrimination in synthetic tests, with simulation uncertainty. Where it is unmet, results report achieved recovery and the range of contrasts remaining indistinguishable.</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t>Environmental radioactivity determines production, decay and collector conventions; transport physics supplies budgets; statistical experiment design tests information content. The disciplines meet in one workflow: each source-resolved simulation is passed through the measurement operator and recovery analysis, linking physical interpretation to observational tests.</w:t>
      </w:r>
    </w:p>
    <w:p>
      <w:pPr>
        <w:jc w:val="both"/>
      </w:pPr>
      <w:r>
        <w:rPr/>
        <w:t>The M3 data-management plan will define provenance and permissions for JRC/national, DWD and CTBTO records, obtained through their original providers under applicable conditions. It will specify budget units/sign conventions, versioned metadata, storage in TB, retention, hosting and maintenance responsibilities through and beyond the fellowship; WP1 verifies transfers and closure by MS1 (M4). Protocols and withheld blocks are versioned before fitting. Curated model products, publication-supporting data and reusable analysis code will be DOI-archived with appropriate licences, FAIR metadata and open formats [19]. Restricted observations remain with authorised users; synthetic examples and tests enable independent reuse.</w:t>
      </w:r>
    </w:p>
    <w:p>
      <w:pPr>
        <w:jc w:val="both"/>
      </w:pPr>
      <w:r>
        <w:rPr/>
        <w:t>Sex and gender are not explanatory variables for the atmospheric inventories, fluxes and numerical interventions studied here. The project analyses environmental measurements and model output, with no human exposure, health-outcome or participant data. This assessment will be revisited if the research content changes. Geographic and observational representativeness are addressed through coverage and sampling tests. Inclusive mentoring is described in Section 1.3. The work uses existing records and simulations, with no new radioactive releases or handling.</w:t>
      </w:r>
    </w:p>
    <w:p>
      <w:pPr>
        <w:pStyle w:val="Heading2"/>
        <w:pageBreakBefore/>
      </w:pPr>
      <w:r>
        <w:t>1.3 Quality of the supervision, training and of the two-way transfer of knowledge between the researcher and the host</w:t>
      </w:r>
    </w:p>
    <w:p>
      <w:pPr>
        <w:jc w:val="both"/>
      </w:pPr>
      <w:r>
        <w:rPr/>
        <w:t>Aarhus University (AU), Department of Environmental Science, Roskilde, will host the project with Zhuyun Ye as main supervisor. Her expertise covers regional Eulerian modelling and data assimilation [13], including co-authorship of the CAMS regional system description [17]. Three previous one-month visits and the joint ⁷Be–DEHM implementation [7] establish the collaboration. Jesper Heile Christensen, Senior Researcher at AU and a principal DEHM developer [24], will provide complementary mentoring in model development, sensitivity design and model–observation interpretation, drawing on his chemical data-assimilation experience [25].</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DEHM sensitivities mentored by Christensen; inverse-problem training coordinated by Ye. Output: reviewed recovery/uncertainty protocol before fitting and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prepare a research portfolio and size-resolved ⁷Be funding proposal with AU mentoring.</w:t>
            </w:r>
          </w:p>
        </w:tc>
      </w:tr>
    </w:tbl>
    <w:p>
      <w:pPr>
        <w:pStyle w:val="Caption"/>
      </w:pPr>
      <w:r>
        <w:rPr/>
        <w:t>Table 5. Training is assessed through reviewed code, executable methods and independent scientific decisions.</w:t>
      </w:r>
    </w:p>
    <w:p>
      <w:pPr>
        <w:jc w:val="both"/>
      </w:pPr>
      <w:r>
        <w:rPr/>
        <w:t>Weekly meetings with Ye and quarterly reviews with Christensen support independent decisions. Chham and Ye will agree a career-development plan in M1 and review it every six months. Chham leads implementation, analysis and documentation; Ye oversees supervision and targeted inverse-problem training. A review before fitting assesses synthetic recovery, uncertainty and scoring. Christensen advises on the follow-on proposal’s DEHM component.</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t>Essaid Chham is a postdoctoral researcher at Universidad Miguel Hernández, with doctorates in Chemistry (Granada, 2018) and Physics (Abdelmalek Essaâdi, 2019), Erasmus Mundus experience and María Zambrano/APOSTD postdoctoral periods, detailed in Part B2. His combination of Monte Carlo modelling, environmental radioactivity and atmospheric analysis matches the project’s integration of source physics, numerical tracers and observations.</w:t>
      </w:r>
    </w:p>
    <w:p>
      <w:pPr>
        <w:jc w:val="both"/>
      </w:pPr>
      <w:r>
        <w:rPr/>
        <w:t>His research on ⁷Be prediction [10], sampling-interval effects in CWT/PSCF [11] and Open-AMA software [12] demonstrates measurement-aware analysis and reproducibility. DEHM, Fortran, R/Python and NetCDF experience provides the implementation base, complemented by teaching and supervision described in Part B2. The fellowship develops his ability to design controlled model experiments, quantify competing explanations and lead their scientific evaluation.</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t>The career objective is an independent research line in atmospheric transport and aerosol-process evaluation. By M24, Chham will lead a reusable diagnostic release, target two lead-author manuscript submissions and prepare a follow-on proposal on size-resolved ⁷Be transport and removal in DEHM. With AU mentoring, he will develop its scientific case, partnerships and budget for suitable future calls, including the Novo Nordisk Foundation’s NERD programme where eligible [26]. STRAT-TRACE’s discrimination results will guide future observations requiring subsequent funding. Source-budget and uncertainty training, developer demonstrations and teaching build scientific leadership. Six-month reviews assess independent decisions, these outputs and progress toward academic or applied atmospheric-modelling positions.</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t>Dissemination targets atmospheric modellers and environmental-radioactivity researchers; exploitation delivers a usable diagnostic method; communication explains why matching measurements can mask incorrect processes. Demonstrations, training and the data-access interface share the tested benchmark and release, within the existing WP5 allocation.</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on multidecadal source/removal budgets and observational discrimination/transfer. Preprints, open-access routes and at least one conference contribution. Track submissions, DOI releases and feedback.</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 and M22</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Demonstrate the benchmark and deliver a developer note with supported changes, alternative explanations and regression tests. Record feedback and reproduction effort; target one re-run by a user other than the fellow.</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observing-value brief on where paired deposition adds information and finer sampling helps. Invite feedback from JRC, DWD and relevant CTBTO/IMS specialists; record responses and reuse requests.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open example and data-access interface, two practical training sessions and an accessible radiotracer brief. Record attendance, tutorial completion and use of published outputs.</w:t>
            </w:r>
          </w:p>
        </w:tc>
      </w:tr>
    </w:tbl>
    <w:p>
      <w:pPr>
        <w:pStyle w:val="Caption"/>
      </w:pPr>
      <w:r>
        <w:rPr/>
        <w:t>Table 6. Products, target audiences and measures of use guide dissemination and exploitation throughout the fellowship.</w:t>
      </w:r>
    </w:p>
    <w:p>
      <w:pPr>
        <w:jc w:val="both"/>
      </w:pPr>
      <w:r>
        <w:rPr/>
        <w:t>Reusable analysis tools will use an appropriate open-source software licence agreed with AU, respecting ownership and dependency compatibility; host-owned DEHM code remains separately governed. Versioned schemas, tests and a synthetic benchmark support independent reuse. A lightweight interface using established data-serving tools will provide direct downloads of published model subsets selected by period, area, variable and available hourly, daily or monthly resolution, with metadata, version and citation information. Curated products and publication-supporting data remain DOI-archived. Developer demonstrations and an independent re-run will assess usability and guide the final release.</w:t>
      </w:r>
    </w:p>
    <w:p>
      <w:pPr>
        <w:pStyle w:val="Heading2"/>
      </w:pPr>
      <w:r>
        <w:t>2.3 The magnitude and importance of the project’s contribution to the expected scientific, societal and economic impacts</w:t>
      </w:r>
    </w:p>
    <w:p>
      <w:pPr>
        <w:jc w:val="both"/>
      </w:pPr>
      <w:r>
        <w:rPr>
          <w:b/>
        </w:rPr>
        <w:t>Scientific impact.</w:t>
      </w:r>
      <w:r>
        <w:rPr/>
        <w:t xml:space="preserve"> STRAT-TRACE will link verified ⁷Be source budgets to observational discrimination of atmospheric explanations. Three wet settings with variable/fixed source forcing over 1986–2024/2025 test robustness across three complete solar cycles. Long European records add temporal reach; CTBTO air observations extend spatial tests within DEHM coverage. Paired concentration–deposition records determine where deposition adds information. The resulting map will identify compatible explanations and the additional sampling needed to distinguish them.</w:t>
      </w:r>
    </w:p>
    <w:p>
      <w:pPr>
        <w:jc w:val="both"/>
      </w:pPr>
      <w:r>
        <w:rPr>
          <w:b/>
        </w:rPr>
        <w:t>Technological and environmental-assessment pathway.</w:t>
      </w:r>
      <w:r>
        <w:rPr/>
        <w:t xml:space="preserve"> DEHM is one of the 11 models contributing to the CAMS regional air-quality system [17]. Its developers will receive an executable benchmark, a reviewed demonstration and regression tests to assess whether model changes improve concentration and deposition consistently. These outputs can focus development on supported process explanations and reduce uninformative tuning. Usability, re-run effort and successful independent reproduction will be assessed through developer feedback. Transfer to pollutant forecasting remains a subsequent validation step.</w:t>
      </w:r>
    </w:p>
    <w:p>
      <w:pPr>
        <w:jc w:val="both"/>
      </w:pPr>
      <w:r>
        <w:rPr>
          <w:b/>
        </w:rPr>
        <w:t>Societal and European relevance.</w:t>
      </w:r>
      <w:r>
        <w:rPr/>
        <w:t xml:space="preserve"> More credible aerosol-process evaluation strengthens the evidence used in air-quality and ecosystem assessments, consistent with the EU Zero Pollution Action Plan [18]. The observing-value brief will help monitoring specialists assess where paired measurements or finer sampling can improve inference. FAIR releases and reusable examples [19] make these methods accessible beyond the host team. Wider environmental and economic benefits depend on subsequent adoption and validated transfer to relevant pollutants.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plan links verified labels, matched experiments over 1986–2024/2025 and independent evaluation of historical and recent observations. AU has confirmed the computational capacity and execution schedule for the full matrix, including fixed-production companions, spin-up and the restart/verification reserve. MS1 at M4 validates source controls, budgets and input continuity before long runs. Reference output follows by M9 and the full response library by M15, leaving time for evaluation and release.</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boundary conversion and spin-up; audit model inputs and JRC/DWD/CTBTO coverage, overlaps and permissions; benchmark resources and lock evaluation blocks. D1: source/measurement protocol and data-management plan, including the historical-input contingency.</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inputs and source controls verified; common period and evaluation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(78/80 configuration-years if separate); assess solar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(156/160 configuration-years if separate);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and locked historical/recent tests; assess CTBTO spatial transfer with air records and joint skill with valid air–deposition pairs. Check stable segments and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licensed tools, data-access interface, methods materials, career portfolio and follow-on funding proposal.</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t>Table 7. Total effort is 24 person-months (PM), distributed across overlapping work packages. WP2 begins with preparation; long production runs follow MS1. Deliverables and milestones retain a single-researcher workload.</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t>Gantt chart. Filled cells indicate activity during all or part of each interval. D1–D5 correspond to MS1–MS5; the data-management plan is due in M3.</w:t>
      </w:r>
    </w:p>
    <w:p>
      <w:pPr>
        <w:pStyle w:val="Heading3"/>
      </w:pPr>
      <w:r>
        <w:t>Execution budget and control of scope</w:t>
      </w:r>
    </w:p>
    <w:p>
      <w:pPr>
        <w:jc w:val="both"/>
      </w:pPr>
      <w:r>
        <w:rPr/>
        <w:t>Three wet settings over 39/40 years require 117/120 configuration-years with variable production. Fixed partners run concurrently as additional species where supported; separate execution doubles the total to 234/240. AU’s confirmed provision includes pre-1986 spin-up and a separate 20% restart/verification reserve. WP1 benchmarks contrasting seasonal and wet/dry months with all 14 tracers, online budgets and input/output to refine scheduling and storage. All settings share one meteorological archive.</w:t>
      </w:r>
    </w:p>
    <w:p>
      <w:pPr>
        <w:pStyle w:val="Heading3"/>
        <w:pageBreakBefore/>
      </w:pPr>
      <w:r>
        <w:t>Delivery risks and scientific decision branches</w:t>
      </w:r>
    </w:p>
    <w:p>
      <w:pPr>
        <w:jc w:val="both"/>
      </w:pPr>
      <w:r>
        <w:rPr/>
        <w:t>The risk plan protects delivery while preserving the interpretation of inconclusive tests. A regime with weak discrimination still yields measured response limits and an observing-value assessment; inadequate information across the whole network would constrain the empirical contribution. The qualitative ratings below will be updated at each milestone.</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Audit JRC/DWD/CTBTO coverage, overlap, permissions and method eras. Retain valid pairs for joint tests and stable segments for temporal comparisons. CTBTO adds air tests; delivery delays do not displace the established paired baseline. Redesign if core paired coverage is inadequate.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Early synthetic tests evaluate the actual observing design. Report compatible scenarios and tested discrimination bounds; quantify the information added by alternative sampling. Preserve verified source-budget results and the geographic scope of inference.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Historical-input gaps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If historical inputs cannot be completed by MS1, all wet settings and both source treatments use the longest verified common continuous period, prioritising the 2009–2024 observational baseline. Update solar-cycle coverage and evaluation blocks together. Checkpoints, online sums and the allocated reserve address workflow interruptions.</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Separate air/deposition scores and source/discrepancy tests expose compensation. Deliver the rejected explanation and its regression test; retain the locked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t>AU’s Department of Environmental Science develops atmospheric transport, chemistry and deposition models across scales [14,15]. Its DEHM contribution to CAMS [17] and the joint ⁷Be implementation [7] give the host the scientific expertise and developer connections needed for this project. The reduced-chemistry research configuration supports controlled diagnostics, with any later operational changes assessed in their relevant pollutant and forecasting configurations.</w:t>
      </w:r>
    </w:p>
    <w:p>
      <w:pPr>
        <w:jc w:val="both"/>
      </w:pPr>
      <w:r>
        <w:rPr/>
        <w:t>AU’s confirmed provision supports the complete matrix and M9/M15 schedule. Chham will assemble the 1986–2024/2025 inputs, archive the CRAC-derived upper-boundary formulation and fields, and benchmark the allocated resources in WP1. Ye will oversee execution and scientific decisions. The signed CTBTO agreement complements JRC and DWD data access; WP1 verifies the usable records and permissions. Long runs follow MS1 source-control and input-continuity checks; historical contingencies retain a common period across configurations and source treatments.</w:t>
      </w:r>
    </w:p>
    <w:p>
      <w:pPr>
        <w:jc w:val="both"/>
      </w:pPr>
      <w:r>
        <w:rPr/>
        <w:t>Hourly receptor series and online pressure-band/regional budgets cover both source treatments over the full period; detailed 3-D fields are retained for selected episodes. At approximately 6 MB per hourly file, continuous output over 234/240 configuration-years would occupy 12–13 TB for that variable set. AU infrastructure provides over 600 TB of storage capacity. WP1 scales the estimate to retained tagged fields and episodes, budgeting meteorological inputs, checkpoints and copies separately. The M3 plan records TB requirements and retention, updated with pilot results. Curated daily/monthly products reduce download volumes, using time-weighted concentration means and integrated deposition; published subsets are directly accessible through the WP5 interface and repository.</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GEOS-Chem Classic documentation. TransportTracers simulation, Be7/Be7s entries. geos-chem.readthedocs.io/en/stable/geos-chem-shared-docs/simulations/transport-tracers.html (accessed 7 September 2026).</w:t>
      </w:r>
    </w:p>
    <w:p>
      <w:pPr>
        <w:spacing w:after="80"/>
        <w:jc w:val="left"/>
      </w:pPr>
      <w:r>
        <w:rPr>
          <w:b w:val="0"/>
          <w:sz w:val="18"/>
        </w:rPr>
        <w:t>[17]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[18] European Commission. Zero Pollution Action Plan. environment.ec.europa.eu/strategy/zero-pollution-action-plan_en (accessed 7 September 2026).</w:t>
      </w:r>
    </w:p>
    <w:p>
      <w:pPr>
        <w:spacing w:after="80"/>
        <w:jc w:val="left"/>
      </w:pPr>
      <w:r>
        <w:rPr>
          <w:b w:val="0"/>
          <w:sz w:val="18"/>
        </w:rPr>
        <w:t>[19] European Commission. European Open Science Cloud (EOSC). research-and-innovation.ec.europa.eu/strategy/strategy-research-and-innovation/our-digital-future/open-science/european-open-science-cloud-eosc_en (accessed 7 September 2026).</w:t>
      </w:r>
    </w:p>
    <w:p>
      <w:pPr>
        <w:spacing w:after="80"/>
        <w:jc w:val="left"/>
      </w:pPr>
      <w:r>
        <w:rPr>
          <w:sz w:val="18"/>
        </w:rPr>
        <w:t>[20] Haas-van den Heuvel, R., DWD, and Chham, E. (March–May 2026). “Request for 7Be in rainwater data.” Personal communication on co-located sampling, daily rainfall since 2009, collector and unit changes, and inclusion of dry deposition.</w:t>
      </w:r>
    </w:p>
    <w:p>
      <w:pPr>
        <w:spacing w:after="80"/>
        <w:jc w:val="left"/>
      </w:pPr>
      <w:r>
        <w:rPr>
          <w:b w:val="0"/>
          <w:sz w:val="18"/>
        </w:rPr>
        <w:t>[21]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p>
      <w:pPr>
        <w:spacing w:after="80"/>
        <w:jc w:val="left"/>
      </w:pPr>
      <w:r>
        <w:rPr>
          <w:sz w:val="18"/>
        </w:rPr>
        <w:t>[22] European Commission, Joint Research Centre. Radioactivity Environmental Monitoring database (REMdb). remon.jrc.ec.europa.eu/About/Environmental-Monitoring/REMdb (accessed 7 September 2026). National monitoring data, provenance and metadata.</w:t>
      </w:r>
    </w:p>
    <w:p>
      <w:pPr>
        <w:spacing w:after="80"/>
        <w:jc w:val="left"/>
      </w:pPr>
      <w:r>
        <w:rPr>
          <w:sz w:val="18"/>
        </w:rPr>
        <w:t>[23] CTBTO. Virtual Data Exploitation Centre (vDEC): scientific data access and use conditions. www.ctbto.org/resources/for-researchers-experts/vdec (accessed 7 September 2026).</w:t>
      </w:r>
    </w:p>
    <w:p>
      <w:pPr>
        <w:spacing w:after="80"/>
        <w:jc w:val="left"/>
      </w:pPr>
      <w:r>
        <w:rPr>
          <w:sz w:val="18"/>
        </w:rPr>
        <w:t>[24] Aarhus University. Jesper Heile Christensen: institutional profile. www.au.dk/en/jc%40envs.au.dk/ (accessed 8 September 2026).</w:t>
      </w:r>
    </w:p>
    <w:p>
      <w:pPr>
        <w:spacing w:after="80"/>
        <w:jc w:val="left"/>
      </w:pPr>
      <w:r>
        <w:rPr>
          <w:sz w:val="18"/>
        </w:rPr>
        <w:t>[25] Silver, J. D., Christensen, J. H., et al. (2016). Multi-species chemical data assimilation with the Danish Eulerian hemispheric model: system description and verification. Journal of Atmospheric Chemistry, 73, 261–302. doi:10.1007/s10874-015-9326-0.</w:t>
      </w:r>
    </w:p>
    <w:p>
      <w:pPr>
        <w:spacing w:after="80"/>
        <w:jc w:val="left"/>
      </w:pPr>
      <w:r>
        <w:rPr>
          <w:sz w:val="18"/>
        </w:rPr>
        <w:t>[26] Novo Nordisk Foundation. New Exploratory Research and Discovery (NERD) Programme 2026. novonordiskfonden.dk/en/grant/new-exploratory-research-and-discovery-nerd-programme-2026/ (accessed 8 September 2026). Future applications follow the applicable call rules.</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STRAT-TRACE · Part B1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 Source-tagged ⁷Be for process-aware aerosol model evaluation</dc:title>
  <dc:subject>Controlled DEHM experiments and historical beryllium-7 observations</dc:subject>
  <dc:creator>Essaid Chham</dc:creator>
  <cp:keywords>STRAT-TRACE; MSCA; DEHM; beryllium-7; atmospheric transport; deposition</cp:keywords>
  <dc:description/>
  <cp:lastModifiedBy/>
  <cp:revision>9</cp:revision>
  <dcterms:created xsi:type="dcterms:W3CDTF">2013-12-23T23:15:00Z</dcterms:created>
  <dcterms:modified xsi:type="dcterms:W3CDTF">2026-09-08T02:49:19Z</dcterms:modified>
  <cp:category/>
  <cp:version>9.9</cp:version>
</cp:coreProperties>
</file>