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Axis Calibre — Deep-Dive Q&amp;A</w:t>
      </w:r>
    </w:p>
    <w:p>
      <w:pPr>
        <w:spacing w:after="120"/>
      </w:pPr>
      <w:r>
        <w:rPr>
          <w:b w:val="false"/>
          <w:bCs w:val="false"/>
          <w:i/>
          <w:iCs/>
          <w:color w:val="5B5F66"/>
        </w:rPr>
        <w:t xml:space="preserve">Prepared by Team MOVES for Axis MOVES 2026, Round 2</w:t>
      </w:r>
    </w:p>
    <w:p>
      <w:pPr>
        <w:spacing w:after="120"/>
      </w:pPr>
      <w:r>
        <w:rPr>
          <w:b w:val="false"/>
          <w:bCs w:val="false"/>
          <w:i w:val="false"/>
          <w:iCs w:val="false"/>
        </w:rPr>
        <w:t xml:space="preserve">This document goes deep on the three questions a sharp judging panel will actually press on: how the track record is calculated, how gaming is prevented, and why this sits inside Axis's existing governance rather than around it. If we only have time to prep one thing before presenting, it's this.</w:t>
      </w:r>
    </w:p>
    <w:p>
      <w:pPr>
        <w:pStyle w:val="Heading1"/>
        <w:spacing w:after="140" w:before="320"/>
      </w:pPr>
      <w:r>
        <w:t xml:space="preserve">1. How the Track Record Is Actually Calculated</w:t>
      </w:r>
    </w:p>
    <w:p>
      <w:pPr>
        <w:spacing w:after="120"/>
      </w:pPr>
      <w:r>
        <w:rPr>
          <w:b w:val="false"/>
          <w:bCs w:val="false"/>
          <w:i w:val="false"/>
          <w:iCs w:val="false"/>
        </w:rPr>
        <w:t xml:space="preserve">We call this the Calibration Score. It isn't a vague "good employee" rating — it's a specific, difficulty-adjusted comparison of predicted outcome versus actual outcome, recalculated on a fixed schedule.</w:t>
      </w:r>
    </w:p>
    <w:p>
      <w:pPr>
        <w:pStyle w:val="Heading2"/>
        <w:spacing w:after="90" w:before="200"/>
      </w:pPr>
      <w:r>
        <w:t xml:space="preserve">The mechanics, step by step</w:t>
      </w:r>
    </w:p>
    <w:p>
      <w:pPr>
        <w:pStyle w:val="ListParagraph"/>
        <w:numPr>
          <w:ilvl w:val="0"/>
          <w:numId w:val="2"/>
        </w:numPr>
        <w:spacing w:after="60"/>
      </w:pPr>
      <w:r>
        <w:t xml:space="preserve">Every discretionary decision (a sanctioning call, a pricing exception, a risk override) is logged with the case's difficulty tier at the time it's decided — not after the fact, so nobody can argue a case was harder than it looked once the outcome is known.</w:t>
      </w:r>
    </w:p>
    <w:p>
      <w:pPr>
        <w:pStyle w:val="ListParagraph"/>
        <w:numPr>
          <w:ilvl w:val="0"/>
          <w:numId w:val="2"/>
        </w:numPr>
        <w:spacing w:after="60"/>
      </w:pPr>
      <w:r>
        <w:t xml:space="preserve">Difficulty tiering uses objective, pre-set factors the Governance Committee owns: loan size relative to segment norms, sector volatility, borrower's documentation completeness, and whether the request falls outside standard policy. This produces a Low / Medium / High difficulty bucket for each case.</w:t>
      </w:r>
    </w:p>
    <w:p>
      <w:pPr>
        <w:pStyle w:val="ListParagraph"/>
        <w:numPr>
          <w:ilvl w:val="0"/>
          <w:numId w:val="2"/>
        </w:numPr>
        <w:spacing w:after="60"/>
      </w:pPr>
      <w:r>
        <w:t xml:space="preserve">Once the case resolves — repayment behaviour observed, exception outcome played out — the actual result is compared to what a well-calibrated decision in that difficulty tier should look like. That comparison is scored within the tier, not against the whole portfolio, so someone handling harder cases isn't penalised for a naturally higher variance.</w:t>
      </w:r>
    </w:p>
    <w:p>
      <w:pPr>
        <w:pStyle w:val="ListParagraph"/>
        <w:numPr>
          <w:ilvl w:val="0"/>
          <w:numId w:val="2"/>
        </w:numPr>
        <w:spacing w:after="60"/>
      </w:pPr>
      <w:r>
        <w:t xml:space="preserve">Scores are recency-weighted: a rolling window (we've modelled 18–24 months, matching typical credit outcome visibility) weights recent decisions more heavily than older ones, so the score reflects current judgment, not a strong quarter from three years ago.</w:t>
      </w:r>
    </w:p>
    <w:p>
      <w:pPr>
        <w:pStyle w:val="ListParagraph"/>
        <w:numPr>
          <w:ilvl w:val="0"/>
          <w:numId w:val="2"/>
        </w:numPr>
        <w:spacing w:after="60"/>
      </w:pPr>
      <w:r>
        <w:t xml:space="preserve">A minimum sample size — we've used 30 difficulty-adjusted cases as a working threshold — is required before someone's authority moves meaningfully. Below that, they sit at a stable baseline tied to their existing grade. This stops one lucky or unlucky month from swinging someone's authority.</w:t>
      </w:r>
    </w:p>
    <w:p>
      <w:pPr>
        <w:pStyle w:val="ListParagraph"/>
        <w:numPr>
          <w:ilvl w:val="0"/>
          <w:numId w:val="2"/>
        </w:numPr>
        <w:spacing w:after="60"/>
      </w:pPr>
      <w:r>
        <w:t xml:space="preserve">Authority limits update on a quarterly cadence, signed off by the Governance Committee — not continuously in real time. AI can use live scores for case-routing (who's best suited right now), but actual discretionary limits only move after a human governance review, which keeps the system auditable and prevents whiplash.</w:t>
      </w:r>
    </w:p>
    <w:p>
      <w:pPr>
        <w:pStyle w:val="Heading2"/>
        <w:spacing w:after="90" w:before="200"/>
      </w:pPr>
      <w:r>
        <w:t xml:space="preserve">A concrete example</w:t>
      </w:r>
    </w:p>
    <w:p>
      <w:pPr>
        <w:spacing w:after="120"/>
      </w:pPr>
      <w:r>
        <w:rPr>
          <w:b w:val="false"/>
          <w:bCs w:val="false"/>
          <w:i w:val="false"/>
          <w:iCs w:val="false"/>
        </w:rPr>
        <w:t xml:space="preserve">Say an SME credit officer handles 40 cases in a quarter — 12 Low, 20 Medium, 8 High difficulty. Her High-tier cases have a slightly higher exception rate than average, but that's expected and priced into the High-tier benchmark. Her Medium and Low-tier calibration is strong. The blended, difficulty-adjusted score comes out well above her segment's baseline. That moves her sanctioning limit up one band next quarter — not because she made more decisions, but because the ones she made held up, adjusted for how hard they were.</w:t>
      </w:r>
    </w:p>
    <w:p>
      <w:pPr>
        <w:pStyle w:val="Heading1"/>
        <w:spacing w:after="140" w:before="320"/>
      </w:pPr>
      <w:r>
        <w:t xml:space="preserve">2. How We Prevent Gaming</w:t>
      </w:r>
    </w:p>
    <w:p>
      <w:pPr>
        <w:spacing w:after="120"/>
      </w:pPr>
      <w:r>
        <w:rPr>
          <w:b w:val="false"/>
          <w:bCs w:val="false"/>
          <w:i w:val="false"/>
          <w:iCs w:val="false"/>
        </w:rPr>
        <w:t xml:space="preserve">This is the question we expect to get pushed on hardest, so we built the anti-gaming logic into the mechanism itself rather than bolting it on as a policy.</w:t>
      </w:r>
    </w:p>
    <w:p>
      <w:pPr>
        <w:pStyle w:val="ListParagraph"/>
        <w:numPr>
          <w:ilvl w:val="0"/>
          <w:numId w:val="2"/>
        </w:numPr>
        <w:spacing w:after="60"/>
      </w:pPr>
      <w:r>
        <w:t xml:space="preserve">Difficulty-adjustment removes the incentive to cherry-pick easy cases — an easy case scored against an easy-case benchmark doesn't move the needle. The only way to raise your score is to perform well relative to the difficulty you actually took on.</w:t>
      </w:r>
    </w:p>
    <w:p>
      <w:pPr>
        <w:pStyle w:val="ListParagraph"/>
        <w:numPr>
          <w:ilvl w:val="0"/>
          <w:numId w:val="2"/>
        </w:numPr>
        <w:spacing w:after="60"/>
      </w:pPr>
      <w:r>
        <w:t xml:space="preserve">No self-selection: employees don't request cases. The AI matching engine assigns them based on current track record and capacity. Nobody can quietly steer easy work to themselves.</w:t>
      </w:r>
    </w:p>
    <w:p>
      <w:pPr>
        <w:pStyle w:val="ListParagraph"/>
        <w:numPr>
          <w:ilvl w:val="0"/>
          <w:numId w:val="2"/>
        </w:numPr>
        <w:spacing w:after="60"/>
      </w:pPr>
      <w:r>
        <w:t xml:space="preserve">Mandatory case-mix diversity: the system tracks the difficulty distribution each employee is receiving over a rolling period. If someone's queue drifts too easy — which would only happen through a routing or capacity issue, since assignment isn't self-selected — it flags for Governance Committee review rather than silently continuing.</w:t>
      </w:r>
    </w:p>
    <w:p>
      <w:pPr>
        <w:pStyle w:val="ListParagraph"/>
        <w:numPr>
          <w:ilvl w:val="0"/>
          <w:numId w:val="2"/>
        </w:numPr>
        <w:spacing w:after="60"/>
      </w:pPr>
      <w:r>
        <w:t xml:space="preserve">Outcome lag: a decision only counts toward the score once its outcome is actually observable — for a loan, that's real repayment behaviour, not just "the loan was disbursed." This kills the incentive to rack up short-term "wins" that haven't actually proven anything yet.</w:t>
      </w:r>
    </w:p>
    <w:p>
      <w:pPr>
        <w:pStyle w:val="ListParagraph"/>
        <w:numPr>
          <w:ilvl w:val="0"/>
          <w:numId w:val="2"/>
        </w:numPr>
        <w:spacing w:after="60"/>
      </w:pPr>
      <w:r>
        <w:t xml:space="preserve">Blind audit sampling: each quarter, the Governance Committee randomly pulls a sample of resolved cases for peer review, independent of the automated score. This catches the kind of subtle manipulation — like quietly steering documentation, or informal pressure on customers — that a purely statistical system might miss.</w:t>
      </w:r>
    </w:p>
    <w:p>
      <w:pPr>
        <w:pStyle w:val="ListParagraph"/>
        <w:numPr>
          <w:ilvl w:val="0"/>
          <w:numId w:val="2"/>
        </w:numPr>
        <w:spacing w:after="60"/>
      </w:pPr>
      <w:r>
        <w:t xml:space="preserve">Transparency as a deterrent, not just a feature: because the ledger and calibration methodology are visible to peers and audited by the Committee, this is closer to an open-book system than a black box — and open-book systems are structurally harder to quietly game than ones only HR can see.</w:t>
      </w:r>
    </w:p>
    <w:p>
      <w:pPr>
        <w:spacing w:after="120"/>
      </w:pPr>
      <w:r>
        <w:rPr>
          <w:b w:val="false"/>
          <w:bCs w:val="false"/>
          <w:i w:val="false"/>
          <w:iCs w:val="false"/>
        </w:rPr>
        <w:t xml:space="preserve">The honest caveat: no scoring system is un-gameable in theory. What we can defend is that every gaming strategy we could think of — cherry-picking, sandbagging, self-selecting cases — is specifically closed off by one of the mechanisms above, and the quarterly audit exists precisely to catch what we didn't think of.</w:t>
      </w:r>
    </w:p>
    <w:p>
      <w:pPr>
        <w:pStyle w:val="Heading1"/>
        <w:spacing w:after="140" w:before="320"/>
      </w:pPr>
      <w:r>
        <w:t xml:space="preserve">3. Why This Fits Inside Existing Governance</w:t>
      </w:r>
    </w:p>
    <w:p>
      <w:pPr>
        <w:spacing w:after="120"/>
      </w:pPr>
      <w:r>
        <w:rPr>
          <w:b w:val="false"/>
          <w:bCs w:val="false"/>
          <w:i w:val="false"/>
          <w:iCs w:val="false"/>
        </w:rPr>
        <w:t xml:space="preserve">We deliberately did not design this to require new regulatory permission. It's built to sit inside the sanctioning and control framework Axis already operates under.</w:t>
      </w:r>
    </w:p>
    <w:p>
      <w:pPr>
        <w:pStyle w:val="ListParagraph"/>
        <w:numPr>
          <w:ilvl w:val="0"/>
          <w:numId w:val="2"/>
        </w:numPr>
        <w:spacing w:after="60"/>
      </w:pPr>
      <w:r>
        <w:t xml:space="preserve">The board-approved sanctioning grid doesn't change. That grid already sets a maximum discretionary limit per role/grade, as required under RBI's internal control and fit-and-proper expectations. Axis Calibre only decides where within that pre-approved band an individual currently sits — it never lets anyone exceed the ceiling already sanctioned for their grade.</w:t>
      </w:r>
    </w:p>
    <w:p>
      <w:pPr>
        <w:pStyle w:val="ListParagraph"/>
        <w:numPr>
          <w:ilvl w:val="0"/>
          <w:numId w:val="2"/>
        </w:numPr>
        <w:spacing w:after="60"/>
      </w:pPr>
      <w:r>
        <w:t xml:space="preserve">It can move someone up faster within their band, or restrict them below their nominal grade limit if calibration is drifting — but the outer boundary is still set by the Board and Risk Committee, exactly as today.</w:t>
      </w:r>
    </w:p>
    <w:p>
      <w:pPr>
        <w:pStyle w:val="ListParagraph"/>
        <w:numPr>
          <w:ilvl w:val="0"/>
          <w:numId w:val="2"/>
        </w:numPr>
        <w:spacing w:after="60"/>
      </w:pPr>
      <w:r>
        <w:t xml:space="preserve">Named accountability is fully preserved. Every decision still has one identified, accountable officer of record — nothing about this diffuses responsibility across a committee or an algorithm. That's a hard requirement we designed around, not an afterthought.</w:t>
      </w:r>
    </w:p>
    <w:p>
      <w:pPr>
        <w:pStyle w:val="ListParagraph"/>
        <w:numPr>
          <w:ilvl w:val="0"/>
          <w:numId w:val="2"/>
        </w:numPr>
        <w:spacing w:after="60"/>
      </w:pPr>
      <w:r>
        <w:t xml:space="preserve">AI's role is explicitly administrative: it routes cases and maintains the record. It does not decide. That distinction matters regulatorily — it keeps this out of the stricter scrutiny that applies to models making the actual credit decision, because a human is always the decision-maker of record.</w:t>
      </w:r>
    </w:p>
    <w:p>
      <w:pPr>
        <w:pStyle w:val="ListParagraph"/>
        <w:numPr>
          <w:ilvl w:val="0"/>
          <w:numId w:val="2"/>
        </w:numPr>
        <w:spacing w:after="60"/>
      </w:pPr>
      <w:r>
        <w:t xml:space="preserve">The Governance Committee is designed as an extension of a function Axis already runs — internal audit and model risk management — not a new regulatory category. It reviews calibration methodology and fairness the way an internal audit function already reviews lending quality today.</w:t>
      </w:r>
    </w:p>
    <w:p>
      <w:pPr>
        <w:pStyle w:val="Heading1"/>
        <w:spacing w:after="140" w:before="320"/>
      </w:pPr>
      <w:r>
        <w:t xml:space="preserve">4. Rehearsed Q&amp;A</w:t>
      </w:r>
    </w:p>
    <w:p>
      <w:pPr>
        <w:pStyle w:val="Heading2"/>
        <w:spacing w:after="90" w:before="200"/>
      </w:pPr>
      <w:r>
        <w:t xml:space="preserve">On calibration mechanics</w:t>
      </w:r>
    </w:p>
    <w:p>
      <w:pPr>
        <w:spacing w:after="40" w:before="160"/>
      </w:pPr>
      <w:r>
        <w:rPr>
          <w:b/>
          <w:bCs/>
          <w:color w:val="7A1F3D"/>
        </w:rPr>
        <w:t xml:space="preserve">Q: What exactly gets measured — is it just default rate?</w:t>
      </w:r>
    </w:p>
    <w:p>
      <w:pPr>
        <w:spacing w:after="60"/>
      </w:pPr>
      <w:r>
        <w:t xml:space="preserve">A: No. For credit decisions it's the gap between predicted and actual repayment behaviour, difficulty-adjusted. For risk exceptions or pricing calls, it's whether the outcome the officer expected — the account staying healthy, the exception not recurring as a problem — actually held. It's calibration, not just a raw success rate.</w:t>
      </w:r>
    </w:p>
    <w:p>
      <w:pPr>
        <w:spacing w:after="40" w:before="160"/>
      </w:pPr>
      <w:r>
        <w:rPr>
          <w:b/>
          <w:bCs/>
          <w:color w:val="7A1F3D"/>
        </w:rPr>
        <w:t xml:space="preserve">Q: Who decides what counts as ‘difficult’?</w:t>
      </w:r>
    </w:p>
    <w:p>
      <w:pPr>
        <w:spacing w:after="60"/>
      </w:pPr>
      <w:r>
        <w:t xml:space="preserve">A: The Governance Committee sets and periodically reviews the difficulty-tiering criteria — loan size relative to segment, sector volatility, documentation completeness, policy exceptions requested. It's a fixed, published rubric, not a subjective call made after the fact.</w:t>
      </w:r>
    </w:p>
    <w:p>
      <w:pPr>
        <w:spacing w:after="40" w:before="160"/>
      </w:pPr>
      <w:r>
        <w:rPr>
          <w:b/>
          <w:bCs/>
          <w:color w:val="7A1F3D"/>
        </w:rPr>
        <w:t xml:space="preserve">Q: How long before a new employee's score means anything?</w:t>
      </w:r>
    </w:p>
    <w:p>
      <w:pPr>
        <w:spacing w:after="60"/>
      </w:pPr>
      <w:r>
        <w:t xml:space="preserve">A: We've used a 30-case minimum, difficulty-adjusted, before authority moves meaningfully. Before that threshold, someone sits at the standard baseline for their grade — nothing changes for them until there's enough signal.</w:t>
      </w:r>
    </w:p>
    <w:p>
      <w:pPr>
        <w:spacing w:after="40" w:before="160"/>
      </w:pPr>
      <w:r>
        <w:rPr>
          <w:b/>
          <w:bCs/>
          <w:color w:val="7A1F3D"/>
        </w:rPr>
        <w:t xml:space="preserve">Q: What if the market shifts and everyone's outcomes look worse at once — a recession, say?</w:t>
      </w:r>
    </w:p>
    <w:p>
      <w:pPr>
        <w:spacing w:after="60"/>
      </w:pPr>
      <w:r>
        <w:t xml:space="preserve">A: Scores are relative within difficulty tier and time period, not against a fixed historical bar. A system-wide downturn shifts the whole benchmark, so a well-calibrated officer in a bad year still scores well relative to that year's conditions — we're not asking anyone to out-predict the economy.</w:t>
      </w:r>
    </w:p>
    <w:p>
      <w:pPr>
        <w:spacing w:after="40" w:before="160"/>
      </w:pPr>
      <w:r>
        <w:rPr>
          <w:b/>
          <w:bCs/>
          <w:color w:val="7A1F3D"/>
        </w:rPr>
        <w:t xml:space="preserve">Q: Does this apply the same way across very different functions — credit vs. risk vs. pricing?</w:t>
      </w:r>
    </w:p>
    <w:p>
      <w:pPr>
        <w:spacing w:after="60"/>
      </w:pPr>
      <w:r>
        <w:t xml:space="preserve">A: The difficulty-tiering criteria and outcome-observation windows are function-specific — credit outcomes take longer to observe than a pricing exception, for instance — but the underlying logic (predicted vs. actual, difficulty-adjusted, recency-weighted) is the same across domains.</w:t>
      </w:r>
    </w:p>
    <w:p>
      <w:pPr>
        <w:pStyle w:val="Heading2"/>
        <w:spacing w:after="90" w:before="200"/>
      </w:pPr>
      <w:r>
        <w:t xml:space="preserve">On preventing gaming</w:t>
      </w:r>
    </w:p>
    <w:p>
      <w:pPr>
        <w:spacing w:after="40" w:before="160"/>
      </w:pPr>
      <w:r>
        <w:rPr>
          <w:b/>
          <w:bCs/>
          <w:color w:val="7A1F3D"/>
        </w:rPr>
        <w:t xml:space="preserve">Q: What stops someone from just being cautious and rejecting borderline cases to protect their score?</w:t>
      </w:r>
    </w:p>
    <w:p>
      <w:pPr>
        <w:spacing w:after="60"/>
      </w:pPr>
      <w:r>
        <w:t xml:space="preserve">A: Case-mix diversity monitoring catches this — since assignment isn't self-selected, a pattern of unusually high rejection or escalation shows up as a flag, not a quiet win. And declining a case doesn't remove it from someone's difficulty-mix tracking.</w:t>
      </w:r>
    </w:p>
    <w:p>
      <w:pPr>
        <w:spacing w:after="40" w:before="160"/>
      </w:pPr>
      <w:r>
        <w:rPr>
          <w:b/>
          <w:bCs/>
          <w:color w:val="7A1F3D"/>
        </w:rPr>
        <w:t xml:space="preserve">Q: Could two colleagues informally collude — one takes the easy cases, one takes the hard ones, and they split the upside?</w:t>
      </w:r>
    </w:p>
    <w:p>
      <w:pPr>
        <w:spacing w:after="60"/>
      </w:pPr>
      <w:r>
        <w:t xml:space="preserve">A: Assignment is done by the AI matcher based on live capacity and track record, not requested by employees, which removes the coordination point collusion would need. And the quarterly blind audit specifically looks for anomalous patterns like consistent case-type clustering across individuals.</w:t>
      </w:r>
    </w:p>
    <w:p>
      <w:pPr>
        <w:spacing w:after="40" w:before="160"/>
      </w:pPr>
      <w:r>
        <w:rPr>
          <w:b/>
          <w:bCs/>
          <w:color w:val="7A1F3D"/>
        </w:rPr>
        <w:t xml:space="preserve">Q: What if someone just gets lucky for a year?</w:t>
      </w:r>
    </w:p>
    <w:p>
      <w:pPr>
        <w:spacing w:after="60"/>
      </w:pPr>
      <w:r>
        <w:t xml:space="preserve">A: The minimum sample size and recency-weighted rolling window are both designed to dampen luck — 30+ difficulty-adjusted cases is enough that a handful of lucky outcomes doesn't dominate the score, and the window keeps refreshing so a lucky year doesn't lock in a permanent advantage.</w:t>
      </w:r>
    </w:p>
    <w:p>
      <w:pPr>
        <w:spacing w:after="40" w:before="160"/>
      </w:pPr>
      <w:r>
        <w:rPr>
          <w:b/>
          <w:bCs/>
          <w:color w:val="7A1F3D"/>
        </w:rPr>
        <w:t xml:space="preserve">Q: Is there a risk employees reverse-engineer the difficulty model and target it?</w:t>
      </w:r>
    </w:p>
    <w:p>
      <w:pPr>
        <w:spacing w:after="60"/>
      </w:pPr>
      <w:r>
        <w:t xml:space="preserve">A: The rubric is intentionally simple and published — loan size, sector volatility, documentation, exceptions — rather than a hidden model, precisely so there's nothing opaque to reverse-engineer. Since assignment isn't self-selected anyway, knowing the rubric doesn't let you steer your own case mix.</w:t>
      </w:r>
    </w:p>
    <w:p>
      <w:pPr>
        <w:pStyle w:val="Heading2"/>
        <w:spacing w:after="90" w:before="200"/>
      </w:pPr>
      <w:r>
        <w:t xml:space="preserve">On governance and regulatory fit</w:t>
      </w:r>
    </w:p>
    <w:p>
      <w:pPr>
        <w:spacing w:after="40" w:before="160"/>
      </w:pPr>
      <w:r>
        <w:rPr>
          <w:b/>
          <w:bCs/>
          <w:color w:val="7A1F3D"/>
        </w:rPr>
        <w:t xml:space="preserve">Q: Does RBI need to pre-approve this?</w:t>
      </w:r>
    </w:p>
    <w:p>
      <w:pPr>
        <w:spacing w:after="60"/>
      </w:pPr>
      <w:r>
        <w:t xml:space="preserve">A: No new regulatory category is being created. The board-approved sanctioning grid and its ceilings stay exactly as they are today; Axis Calibre only governs placement within that pre-approved structure, which is an internal control decision, not a new regulatory product.</w:t>
      </w:r>
    </w:p>
    <w:p>
      <w:pPr>
        <w:spacing w:after="40" w:before="160"/>
      </w:pPr>
      <w:r>
        <w:rPr>
          <w:b/>
          <w:bCs/>
          <w:color w:val="7A1F3D"/>
        </w:rPr>
        <w:t xml:space="preserve">Q: Could someone's authority exceed what their grade is normally allowed?</w:t>
      </w:r>
    </w:p>
    <w:p>
      <w:pPr>
        <w:spacing w:after="60"/>
      </w:pPr>
      <w:r>
        <w:t xml:space="preserve">A: No — the ceiling for each grade is still set by the Board and Risk Committee. Calibration can only move someone toward that existing ceiling faster, or restrict them below their nominal limit; it can never grant authority beyond what's already sanctioned for the role.</w:t>
      </w:r>
    </w:p>
    <w:p>
      <w:pPr>
        <w:spacing w:after="40" w:before="160"/>
      </w:pPr>
      <w:r>
        <w:rPr>
          <w:b/>
          <w:bCs/>
          <w:color w:val="7A1F3D"/>
        </w:rPr>
        <w:t xml:space="preserve">Q: Who's accountable if a Calibre-authorised decision goes wrong?</w:t>
      </w:r>
    </w:p>
    <w:p>
      <w:pPr>
        <w:spacing w:after="60"/>
      </w:pPr>
      <w:r>
        <w:t xml:space="preserve">A: The same person who's accountable today: the named officer who made the call. Axis Calibre doesn't diffuse responsibility to a committee or an algorithm — the record simply makes it easier to see, after the fact, whether that person's judgment has generally been reliable.</w:t>
      </w:r>
    </w:p>
    <w:p>
      <w:pPr>
        <w:spacing w:after="40" w:before="160"/>
      </w:pPr>
      <w:r>
        <w:rPr>
          <w:b/>
          <w:bCs/>
          <w:color w:val="7A1F3D"/>
        </w:rPr>
        <w:t xml:space="preserve">Q: Isn't giving AI a role in routing credit-adjacent decisions itself a regulatory grey area?</w:t>
      </w:r>
    </w:p>
    <w:p>
      <w:pPr>
        <w:spacing w:after="60"/>
      </w:pPr>
      <w:r>
        <w:t xml:space="preserve">A: AI here is strictly administrative — it routes and scores, it never decides. That's a deliberate design choice, because algorithmic credit-decisioning is the thing that draws stricter fair-lending and model-risk scrutiny. Keeping a human as the decision-maker of record on every case keeps this outside that category.</w:t>
      </w:r>
    </w:p>
    <w:p>
      <w:pPr>
        <w:spacing w:after="40" w:before="160"/>
      </w:pPr>
      <w:r>
        <w:rPr>
          <w:b/>
          <w:bCs/>
          <w:color w:val="7A1F3D"/>
        </w:rPr>
        <w:t xml:space="preserve">Q: How does the Governance Committee's mandate differ from what Risk and Audit already do?</w:t>
      </w:r>
    </w:p>
    <w:p>
      <w:pPr>
        <w:spacing w:after="60"/>
      </w:pPr>
      <w:r>
        <w:t xml:space="preserve">A: It doesn't replace them — it's scoped narrowly to calibration methodology and case-mix fairness, functioning like an extension of the model-risk-management and internal-audit work Axis already performs, reporting into the same structures rather than creating a parallel one.</w:t>
      </w:r>
    </w:p>
    <w:p>
      <w:pPr>
        <w:spacing w:after="40" w:before="160"/>
      </w:pPr>
      <w:r>
        <w:rPr>
          <w:b/>
          <w:bCs/>
          <w:color w:val="7A1F3D"/>
        </w:rPr>
        <w:t xml:space="preserve">Q: What happens during the bootstrap period, before enough real outcome data exists?</w:t>
      </w:r>
    </w:p>
    <w:p>
      <w:pPr>
        <w:spacing w:after="60"/>
      </w:pPr>
      <w:r>
        <w:t xml:space="preserve">A: Year one calibration starts from existing performance-review and audit data as a baseline, recalibrated quarterly as real Calibre-based outcomes accumulate — so the system doesn't have to wait years to produce a usable signal, but also doesn't overclaim precision on day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2026-07-24T05:07:44.193Z</dcterms:created>
  <dcterms:modified xsi:type="dcterms:W3CDTF">2026-07-24T05:07:44.195Z</dcterms:modified>
</cp:coreProperties>
</file>

<file path=docProps/custom.xml><?xml version="1.0" encoding="utf-8"?>
<Properties xmlns="http://schemas.openxmlformats.org/officeDocument/2006/custom-properties" xmlns:vt="http://schemas.openxmlformats.org/officeDocument/2006/docPropsVTypes"/>
</file>