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Vidya Market Validation Report</w:t>
      </w:r>
    </w:p>
    <w:p>
      <w:pPr/>
      <w:r>
        <w:rPr>
          <w:i/>
        </w:rPr>
        <w:t xml:space="preserve">Research date: 17 October 2026. Companion to Vidya PRD v0.2. Evidence labels: Verified (vendor-stated) = on the vendor's own page, not independently tested; Corroborated = several independent sources; Reported = one credible secondary source; Unverified; Conflicting.</w:t>
      </w:r>
    </w:p>
    <w:p>
      <w:pPr>
        <w:pStyle w:val="Heading2"/>
      </w:pPr>
      <w:r>
        <w:t xml:space="preserve">1. Bottom line</w:t>
      </w:r>
    </w:p>
    <w:p>
      <w:pPr/>
      <w:r>
        <w:rPr>
          <w:b/>
        </w:rPr>
        <w:t xml:space="preserve">The evidence does not yet justify committing to an MVP beyond de-risking work.</w:t>
      </w:r>
      <w:r>
        <w:t xml:space="preserve"> There have been no customer interviews, no independent complaint data was found, and almost every price and problem claim comes from a vendor selling something.</w:t>
      </w:r>
    </w:p>
    <w:p>
      <w:pPr/>
      <w:r>
        <w:t xml:space="preserve">What is solid:</w:t>
      </w:r>
    </w:p>
    <w:p>
      <w:pPr>
        <w:pStyle w:val="ListParagraph"/>
        <w:numPr>
          <w:ilvl w:val="0"/>
          <w:numId w:val="2"/>
        </w:numPr>
      </w:pPr>
      <w:r>
        <w:rPr>
          <w:b/>
        </w:rPr>
        <w:t xml:space="preserve">Feature parity is not a reason to switch.</w:t>
      </w:r>
      <w:r>
        <w:t xml:space="preserve"> Entab, Fedena and Teachmint each state that they cover attendance, fees, timetable and a parent app. Building those well makes Vidya viable, not chosen.</w:t>
      </w:r>
    </w:p>
    <w:p>
      <w:pPr>
        <w:pStyle w:val="ListParagraph"/>
        <w:numPr>
          <w:ilvl w:val="0"/>
          <w:numId w:val="2"/>
        </w:numPr>
      </w:pPr>
      <w:r>
        <w:rPr>
          <w:b/>
        </w:rPr>
        <w:t xml:space="preserve">The price floor is near zero for basics.</w:t>
      </w:r>
      <w:r>
        <w:t xml:space="preserve"> Teachmint reportedly has a free plan since 1 April 2025 (Reported, one source), and listed prices run from Rs 0 to Rs 1,500 per student per year depending on the vendor. Vidya cannot win small schools on price.</w:t>
      </w:r>
    </w:p>
    <w:p>
      <w:pPr>
        <w:pStyle w:val="ListParagraph"/>
        <w:numPr>
          <w:ilvl w:val="0"/>
          <w:numId w:val="2"/>
        </w:numPr>
      </w:pPr>
      <w:r>
        <w:rPr>
          <w:b/>
        </w:rPr>
        <w:t xml:space="preserve">One external deadline is verified.</w:t>
      </w:r>
      <w:r>
        <w:t xml:space="preserve"> The DPDP Rules published in the Gazette on 13 November 2025 make most duties, including children's-data rules, effective about 13 May 2027 (Section 8).</w:t>
      </w:r>
    </w:p>
    <w:p>
      <w:pPr/>
      <w:r>
        <w:t xml:space="preserve">What this means: Phase 0 should test one claim, that schools will pay for </w:t>
      </w:r>
      <w:r>
        <w:rPr>
          <w:b/>
        </w:rPr>
        <w:t xml:space="preserve">trustworthy records, assisted migration and compliance-ready data handling</w:t>
      </w:r>
      <w:r>
        <w:t xml:space="preserve"> over a free or cheap tool. Kill criteria are in Section 9.</w:t>
      </w:r>
    </w:p>
    <w:p>
      <w:pPr>
        <w:pStyle w:val="Heading2"/>
      </w:pPr>
      <w:r>
        <w:t xml:space="preserve">2. What was and was not researched</w:t>
      </w:r>
    </w:p>
    <w:tbl>
      <w:tblPr>
        <w:tblStyle w:val="TableGrid"/>
        <w:tblW w:w="0" w:type="auto"/>
        <w:tblLayout w:type="fixed"/>
        <w:tblLook w:val="04A0" w:firstRow="1" w:lastRow="0" w:firstColumn="0" w:lastColumn="0" w:noHBand="0" w:noVBand="1"/>
      </w:tblPr>
      <w:tblGrid>
        <w:gridCol w:w="2069"/>
        <w:gridCol w:w="3142"/>
        <w:gridCol w:w="4149"/>
      </w:tblGrid>
      <w:tr>
        <w:trPr>
          <w:tblHeader/>
        </w:trPr>
        <w:tc>
          <w:tcPr>
            <w:tcW w:w="2069" w:type="dxa"/>
            <w:shd w:val="clear" w:color="auto" w:fill="F2F2F2"/>
          </w:tcPr>
          <w:p>
            <w:pPr/>
            <w:r>
              <w:t xml:space="preserve">Area</w:t>
            </w:r>
          </w:p>
        </w:tc>
        <w:tc>
          <w:tcPr>
            <w:tcW w:w="3142" w:type="dxa"/>
            <w:shd w:val="clear" w:color="auto" w:fill="F2F2F2"/>
          </w:tcPr>
          <w:p>
            <w:pPr/>
            <w:r>
              <w:t xml:space="preserve">Done</w:t>
            </w:r>
          </w:p>
        </w:tc>
        <w:tc>
          <w:tcPr>
            <w:tcW w:w="4149" w:type="dxa"/>
            <w:shd w:val="clear" w:color="auto" w:fill="F2F2F2"/>
          </w:tcPr>
          <w:p>
            <w:pPr/>
            <w:r>
              <w:t xml:space="preserve">Not found or not done</w:t>
            </w:r>
          </w:p>
        </w:tc>
      </w:tr>
      <w:tr>
        <w:tc>
          <w:tcPr>
            <w:tcW w:w="2069" w:type="dxa"/>
          </w:tcPr>
          <w:p>
            <w:pPr/>
            <w:r>
              <w:t xml:space="preserve">Entab, Fedena, Teachmint</w:t>
            </w:r>
          </w:p>
        </w:tc>
        <w:tc>
          <w:tcPr>
            <w:tcW w:w="3142" w:type="dxa"/>
          </w:tcPr>
          <w:p>
            <w:pPr/>
            <w:r>
              <w:t xml:space="preserve">Official pages and listings read via search results</w:t>
            </w:r>
          </w:p>
        </w:tc>
        <w:tc>
          <w:tcPr>
            <w:tcW w:w="4149" w:type="dxa"/>
          </w:tcPr>
          <w:p>
            <w:pPr/>
            <w:r>
              <w:t xml:space="preserve">No hands-on trial; official pricing pages not opened directly</w:t>
            </w:r>
          </w:p>
        </w:tc>
      </w:tr>
      <w:tr>
        <w:tc>
          <w:tcPr>
            <w:tcW w:w="2069" w:type="dxa"/>
          </w:tcPr>
          <w:p>
            <w:pPr/>
            <w:r>
              <w:t xml:space="preserve">VidyalayaERP</w:t>
            </w:r>
          </w:p>
        </w:tc>
        <w:tc>
          <w:tcPr>
            <w:tcW w:w="3142" w:type="dxa"/>
          </w:tcPr>
          <w:p>
            <w:pPr/>
            <w:r>
              <w:t xml:space="preserve">Gartner Peer Insights listing (vendor-supplied, updated 18 May 2026)</w:t>
            </w:r>
          </w:p>
        </w:tc>
        <w:tc>
          <w:tcPr>
            <w:tcW w:w="4149" w:type="dxa"/>
          </w:tcPr>
          <w:p>
            <w:pPr/>
            <w:r>
              <w:t xml:space="preserve">Official site and documentation</w:t>
            </w:r>
          </w:p>
        </w:tc>
      </w:tr>
      <w:tr>
        <w:tc>
          <w:tcPr>
            <w:tcW w:w="2069" w:type="dxa"/>
          </w:tcPr>
          <w:p>
            <w:pPr/>
            <w:r>
              <w:t xml:space="preserve">MyClassboard, MyClassCampus, Edunext, Schoollog</w:t>
            </w:r>
          </w:p>
        </w:tc>
        <w:tc>
          <w:tcPr>
            <w:tcW w:w="3142" w:type="dxa"/>
          </w:tcPr>
          <w:p>
            <w:pPr/>
            <w:r>
              <w:t xml:space="preserve">Only aggregator mentions</w:t>
            </w:r>
          </w:p>
        </w:tc>
        <w:tc>
          <w:tcPr>
            <w:tcW w:w="4149" w:type="dxa"/>
          </w:tcPr>
          <w:p>
            <w:pPr/>
            <w:r>
              <w:rPr>
                <w:b/>
              </w:rPr>
              <w:t xml:space="preserve">Unverified</w:t>
            </w:r>
            <w:r>
              <w:t xml:space="preserve">: no official source checked</w:t>
            </w:r>
          </w:p>
        </w:tc>
      </w:tr>
      <w:tr>
        <w:tc>
          <w:tcPr>
            <w:tcW w:w="2069" w:type="dxa"/>
          </w:tcPr>
          <w:p>
            <w:pPr/>
            <w:r>
              <w:t xml:space="preserve">Customer problems</w:t>
            </w:r>
          </w:p>
        </w:tc>
        <w:tc>
          <w:tcPr>
            <w:tcW w:w="3142" w:type="dxa"/>
          </w:tcPr>
          <w:p>
            <w:pPr/>
            <w:r>
              <w:t xml:space="preserve">Reviews and buyer-guide pages</w:t>
            </w:r>
          </w:p>
        </w:tc>
        <w:tc>
          <w:tcPr>
            <w:tcW w:w="4149" w:type="dxa"/>
          </w:tcPr>
          <w:p>
            <w:pPr/>
            <w:r>
              <w:rPr>
                <w:b/>
              </w:rPr>
              <w:t xml:space="preserve">No Reddit or administrator-community evidence found</w:t>
            </w:r>
            <w:r>
              <w:t xml:space="preserve"> in two searches; no interviews</w:t>
            </w:r>
          </w:p>
        </w:tc>
      </w:tr>
      <w:tr>
        <w:tc>
          <w:tcPr>
            <w:tcW w:w="2069" w:type="dxa"/>
          </w:tcPr>
          <w:p>
            <w:pPr/>
            <w:r>
              <w:t xml:space="preserve">DPDP Rules</w:t>
            </w:r>
          </w:p>
        </w:tc>
        <w:tc>
          <w:tcPr>
            <w:tcW w:w="3142" w:type="dxa"/>
          </w:tcPr>
          <w:p>
            <w:pPr/>
            <w:r>
              <w:t xml:space="preserve">Gazette text of G.S.R. 846(E) read in full (third-party mirror)</w:t>
            </w:r>
          </w:p>
        </w:tc>
        <w:tc>
          <w:tcPr>
            <w:tcW w:w="4149" w:type="dxa"/>
          </w:tcPr>
          <w:p>
            <w:pPr/>
            <w:r>
              <w:t xml:space="preserve">meity.gov.in copy could not be opened; the Act's own sections 8 and 9 not read</w:t>
            </w:r>
          </w:p>
        </w:tc>
      </w:tr>
      <w:tr>
        <w:tc>
          <w:tcPr>
            <w:tcW w:w="2069" w:type="dxa"/>
          </w:tcPr>
          <w:p>
            <w:pPr/>
            <w:r>
              <w:t xml:space="preserve">Spring Boot</w:t>
            </w:r>
          </w:p>
        </w:tc>
        <w:tc>
          <w:tcPr>
            <w:tcW w:w="3142" w:type="dxa"/>
          </w:tcPr>
          <w:p>
            <w:pPr/>
            <w:r>
              <w:t xml:space="preserve">Official 4.1 system-requirements page</w:t>
            </w:r>
          </w:p>
        </w:tc>
        <w:tc>
          <w:tcPr>
            <w:tcW w:w="4149" w:type="dxa"/>
          </w:tcPr>
          <w:p>
            <w:pPr/>
            <w:r>
              <w:t xml:space="preserve">Third-party library compatibility; the exact 4.1.1 patch notes</w:t>
            </w:r>
          </w:p>
        </w:tc>
      </w:tr>
    </w:tbl>
    <w:p>
      <w:pPr>
        <w:pStyle w:val="Heading2"/>
      </w:pPr>
      <w:r>
        <w:t xml:space="preserve">3. Competitor matrix</w:t>
      </w:r>
    </w:p>
    <w:tbl>
      <w:tblPr>
        <w:tblStyle w:val="TableGrid"/>
        <w:tblW w:w="0" w:type="auto"/>
        <w:tblLayout w:type="fixed"/>
        <w:tblLook w:val="04A0" w:firstRow="1" w:lastRow="0" w:firstColumn="0" w:lastColumn="0" w:noHBand="0" w:noVBand="1"/>
      </w:tblPr>
      <w:tblGrid>
        <w:gridCol w:w="1560"/>
        <w:gridCol w:w="1504"/>
        <w:gridCol w:w="2091"/>
        <w:gridCol w:w="1312"/>
        <w:gridCol w:w="1351"/>
        <w:gridCol w:w="1542"/>
      </w:tblGrid>
      <w:tr>
        <w:trPr>
          <w:tblHeader/>
        </w:trPr>
        <w:tc>
          <w:tcPr>
            <w:tcW w:w="1560" w:type="dxa"/>
            <w:shd w:val="clear" w:color="auto" w:fill="F2F2F2"/>
          </w:tcPr>
          <w:p>
            <w:pPr/>
            <w:r>
              <w:t xml:space="preserve">Product</w:t>
            </w:r>
          </w:p>
        </w:tc>
        <w:tc>
          <w:tcPr>
            <w:tcW w:w="1504" w:type="dxa"/>
            <w:shd w:val="clear" w:color="auto" w:fill="F2F2F2"/>
          </w:tcPr>
          <w:p>
            <w:pPr/>
            <w:r>
              <w:t xml:space="preserve">Positioning</w:t>
            </w:r>
          </w:p>
        </w:tc>
        <w:tc>
          <w:tcPr>
            <w:tcW w:w="2091" w:type="dxa"/>
            <w:shd w:val="clear" w:color="auto" w:fill="F2F2F2"/>
          </w:tcPr>
          <w:p>
            <w:pPr/>
            <w:r>
              <w:t xml:space="preserve">Stated coverage</w:t>
            </w:r>
          </w:p>
        </w:tc>
        <w:tc>
          <w:tcPr>
            <w:tcW w:w="1312" w:type="dxa"/>
            <w:shd w:val="clear" w:color="auto" w:fill="F2F2F2"/>
          </w:tcPr>
          <w:p>
            <w:pPr/>
            <w:r>
              <w:t xml:space="preserve">Pricing evidence</w:t>
            </w:r>
          </w:p>
        </w:tc>
        <w:tc>
          <w:tcPr>
            <w:tcW w:w="1351" w:type="dxa"/>
            <w:shd w:val="clear" w:color="auto" w:fill="F2F2F2"/>
          </w:tcPr>
          <w:p>
            <w:pPr/>
            <w:r>
              <w:t xml:space="preserve">Customers</w:t>
            </w:r>
          </w:p>
        </w:tc>
        <w:tc>
          <w:tcPr>
            <w:tcW w:w="1542" w:type="dxa"/>
            <w:shd w:val="clear" w:color="auto" w:fill="F2F2F2"/>
          </w:tcPr>
          <w:p>
            <w:pPr/>
            <w:r>
              <w:t xml:space="preserve">Label</w:t>
            </w:r>
          </w:p>
        </w:tc>
      </w:tr>
      <w:tr>
        <w:tc>
          <w:tcPr>
            <w:tcW w:w="1560" w:type="dxa"/>
          </w:tcPr>
          <w:p>
            <w:pPr/>
            <w:hyperlink r:id="rId3" w:history="1">
              <w:r>
                <w:rPr>
                  <w:rStyle w:val="Hyperlink"/>
                </w:rPr>
                <w:t xml:space="preserve">Entab CampusCare</w:t>
              </w:r>
            </w:hyperlink>
          </w:p>
        </w:tc>
        <w:tc>
          <w:tcPr>
            <w:tcW w:w="1504" w:type="dxa"/>
          </w:tcPr>
          <w:p>
            <w:pPr/>
            <w:r>
              <w:t xml:space="preserve">K-12 schools, premium and CBSE focus per third-party lists</w:t>
            </w:r>
          </w:p>
        </w:tc>
        <w:tc>
          <w:tcPr>
            <w:tcW w:w="2091" w:type="dxa"/>
          </w:tcPr>
          <w:p>
            <w:pPr/>
            <w:r>
              <w:t xml:space="preserve">11 core and 21+ modules stated: student info, fees, exams and report cards, staff, accounting, inventory, library, parent portal, lesson planning. </w:t>
            </w:r>
            <w:r>
              <w:rPr>
                <w:b/>
              </w:rPr>
              <w:t xml:space="preserve">Timetable substitution, SMS, WhatsApp, email, hostel, health, alumni and API integration are listed as separate add-on modules</w:t>
            </w:r>
          </w:p>
        </w:tc>
        <w:tc>
          <w:tcPr>
            <w:tcW w:w="1312" w:type="dxa"/>
          </w:tcPr>
          <w:p>
            <w:pPr/>
            <w:r>
              <w:t xml:space="preserve">Not published. Estimates conflict (Section 4)</w:t>
            </w:r>
          </w:p>
        </w:tc>
        <w:tc>
          <w:tcPr>
            <w:tcW w:w="1351" w:type="dxa"/>
          </w:tcPr>
          <w:p>
            <w:pPr/>
            <w:r>
              <w:t xml:space="preserve">Own pages say 2,000+ to 2,300+; third-party pages say 1,200, 1,500+ and 3,000</w:t>
            </w:r>
          </w:p>
        </w:tc>
        <w:tc>
          <w:tcPr>
            <w:tcW w:w="1542" w:type="dxa"/>
          </w:tcPr>
          <w:p>
            <w:pPr/>
            <w:r>
              <w:t xml:space="preserve">Verified (vendor-stated) for modules; </w:t>
            </w:r>
            <w:r>
              <w:rPr>
                <w:b/>
              </w:rPr>
              <w:t xml:space="preserve">Conflicting</w:t>
            </w:r>
            <w:r>
              <w:t xml:space="preserve"> for price and customer count</w:t>
            </w:r>
          </w:p>
        </w:tc>
      </w:tr>
      <w:tr>
        <w:tc>
          <w:tcPr>
            <w:tcW w:w="1560" w:type="dxa"/>
          </w:tcPr>
          <w:p>
            <w:pPr/>
            <w:hyperlink r:id="rId4" w:history="1">
              <w:r>
                <w:rPr>
                  <w:rStyle w:val="Hyperlink"/>
                </w:rPr>
                <w:t xml:space="preserve">Entab fee module</w:t>
              </w:r>
            </w:hyperlink>
          </w:p>
        </w:tc>
        <w:tc>
          <w:tcPr>
            <w:tcW w:w="1504" w:type="dxa"/>
          </w:tcPr>
          <w:p>
            <w:pPr/>
            <w:r>
              <w:t xml:space="preserve">Fees</w:t>
            </w:r>
          </w:p>
        </w:tc>
        <w:tc>
          <w:tcPr>
            <w:tcW w:w="2091" w:type="dxa"/>
          </w:tcPr>
          <w:p>
            <w:pPr/>
            <w:r>
              <w:t xml:space="preserve">Class, category and term structures, instalments, concessions, late fees, security-deposit refunds, parent portal and app; multi-branch fee centralisation stated; GST and PFMS compliance claimed</w:t>
            </w:r>
          </w:p>
        </w:tc>
        <w:tc>
          <w:tcPr>
            <w:tcW w:w="1312" w:type="dxa"/>
          </w:tcPr>
          <w:p>
            <w:pPr/>
            <w:r>
              <w:t xml:space="preserve">Not published</w:t>
            </w:r>
          </w:p>
        </w:tc>
        <w:tc>
          <w:tcPr>
            <w:tcW w:w="1351" w:type="dxa"/>
          </w:tcPr>
          <w:p>
            <w:pPr/>
            <w:r>
              <w:t xml:space="preserve">n/a</w:t>
            </w:r>
          </w:p>
        </w:tc>
        <w:tc>
          <w:tcPr>
            <w:tcW w:w="1542" w:type="dxa"/>
          </w:tcPr>
          <w:p>
            <w:pPr/>
            <w:r>
              <w:t xml:space="preserve">Verified (vendor-stated); compliance claims unverified</w:t>
            </w:r>
          </w:p>
        </w:tc>
      </w:tr>
      <w:tr>
        <w:tc>
          <w:tcPr>
            <w:tcW w:w="1560" w:type="dxa"/>
          </w:tcPr>
          <w:p>
            <w:pPr/>
            <w:hyperlink r:id="rId5" w:history="1">
              <w:r>
                <w:rPr>
                  <w:rStyle w:val="Hyperlink"/>
                </w:rPr>
                <w:t xml:space="preserve">Fedena</w:t>
              </w:r>
            </w:hyperlink>
          </w:p>
        </w:tc>
        <w:tc>
          <w:tcPr>
            <w:tcW w:w="1504" w:type="dxa"/>
          </w:tcPr>
          <w:p>
            <w:pPr/>
            <w:r>
              <w:t xml:space="preserve">Small-to-mid institutions, K-12 and higher ed</w:t>
            </w:r>
          </w:p>
        </w:tc>
        <w:tc>
          <w:tcPr>
            <w:tcW w:w="2091" w:type="dxa"/>
          </w:tcPr>
          <w:p>
            <w:pPr/>
            <w:r>
              <w:t xml:space="preserve">Admissions, records, attendance, exams, certificates, fees, HR, transport, hostel, timetable; mobile app; multi-school dashboard</w:t>
            </w:r>
          </w:p>
        </w:tc>
        <w:tc>
          <w:tcPr>
            <w:tcW w:w="1312" w:type="dxa"/>
          </w:tcPr>
          <w:p>
            <w:pPr/>
            <w:r>
              <w:t xml:space="preserve">Pro Plus $1,299/yr on several listings; Enterprise custom and includes source code; another listing shows from $999</w:t>
            </w:r>
          </w:p>
        </w:tc>
        <w:tc>
          <w:tcPr>
            <w:tcW w:w="1351" w:type="dxa"/>
          </w:tcPr>
          <w:p>
            <w:pPr/>
            <w:r>
              <w:t xml:space="preserve">n/a; a 12–15% India share claim from a vendor blog is </w:t>
            </w:r>
            <w:r>
              <w:rPr>
                <w:b/>
              </w:rPr>
              <w:t xml:space="preserve">Unverified</w:t>
            </w:r>
          </w:p>
        </w:tc>
        <w:tc>
          <w:tcPr>
            <w:tcW w:w="1542" w:type="dxa"/>
          </w:tcPr>
          <w:p>
            <w:pPr/>
            <w:r>
              <w:t xml:space="preserve">Corroborated (listings may share vendor data) for price; Reported for limitations</w:t>
            </w:r>
          </w:p>
        </w:tc>
      </w:tr>
      <w:tr>
        <w:tc>
          <w:tcPr>
            <w:tcW w:w="1560" w:type="dxa"/>
          </w:tcPr>
          <w:p>
            <w:pPr/>
            <w:hyperlink r:id="rId6" w:history="1">
              <w:r>
                <w:rPr>
                  <w:rStyle w:val="Hyperlink"/>
                </w:rPr>
                <w:t xml:space="preserve">Teachmint</w:t>
              </w:r>
            </w:hyperlink>
          </w:p>
        </w:tc>
        <w:tc>
          <w:tcPr>
            <w:tcW w:w="1504" w:type="dxa"/>
          </w:tcPr>
          <w:p>
            <w:pPr/>
            <w:r>
              <w:t xml:space="preserve">Integrated school platform plus classroom hardware; LMS roots</w:t>
            </w:r>
          </w:p>
        </w:tc>
        <w:tc>
          <w:tcPr>
            <w:tcW w:w="2091" w:type="dxa"/>
          </w:tcPr>
          <w:p>
            <w:pPr/>
            <w:r>
              <w:t xml:space="preserve">Attendance, fees, timetable, parent portal, notifications, online classes, analytics</w:t>
            </w:r>
          </w:p>
        </w:tc>
        <w:tc>
          <w:tcPr>
            <w:tcW w:w="1312" w:type="dxa"/>
          </w:tcPr>
          <w:p>
            <w:pPr/>
            <w:r>
              <w:t xml:space="preserve">No public school price; free plan post 1 Apr 2025 and per-classroom licence of INR 12,711 from year 2 on some hardware bundles, both Reported</w:t>
            </w:r>
          </w:p>
        </w:tc>
        <w:tc>
          <w:tcPr>
            <w:tcW w:w="1351" w:type="dxa"/>
          </w:tcPr>
          <w:p>
            <w:pPr/>
            <w:r>
              <w:t xml:space="preserve">n/a</w:t>
            </w:r>
          </w:p>
        </w:tc>
        <w:tc>
          <w:tcPr>
            <w:tcW w:w="1542" w:type="dxa"/>
          </w:tcPr>
          <w:p>
            <w:pPr/>
            <w:r>
              <w:t xml:space="preserve">Reported</w:t>
            </w:r>
          </w:p>
        </w:tc>
      </w:tr>
      <w:tr>
        <w:tc>
          <w:tcPr>
            <w:tcW w:w="1560" w:type="dxa"/>
          </w:tcPr>
          <w:p>
            <w:pPr/>
            <w:hyperlink r:id="rId7" w:history="1">
              <w:r>
                <w:rPr>
                  <w:rStyle w:val="Hyperlink"/>
                </w:rPr>
                <w:t xml:space="preserve">VidyalayaERP</w:t>
              </w:r>
            </w:hyperlink>
          </w:p>
        </w:tc>
        <w:tc>
          <w:tcPr>
            <w:tcW w:w="1504" w:type="dxa"/>
          </w:tcPr>
          <w:p>
            <w:pPr/>
            <w:r>
              <w:t xml:space="preserve">Indian schools of all sizes</w:t>
            </w:r>
          </w:p>
        </w:tc>
        <w:tc>
          <w:tcPr>
            <w:tcW w:w="2091" w:type="dxa"/>
          </w:tcPr>
          <w:p>
            <w:pPr/>
            <w:r>
              <w:t xml:space="preserve">Admissions, attendance, fees, exams, payroll, parent communication; 15-day trial; 'transparent pricing' claimed</w:t>
            </w:r>
          </w:p>
        </w:tc>
        <w:tc>
          <w:tcPr>
            <w:tcW w:w="1312" w:type="dxa"/>
          </w:tcPr>
          <w:p>
            <w:pPr/>
            <w:r>
              <w:t xml:space="preserve">Custom per Gartner</w:t>
            </w:r>
          </w:p>
        </w:tc>
        <w:tc>
          <w:tcPr>
            <w:tcW w:w="1351" w:type="dxa"/>
          </w:tcPr>
          <w:p>
            <w:pPr/>
            <w:r>
              <w:t xml:space="preserve">n/a</w:t>
            </w:r>
          </w:p>
        </w:tc>
        <w:tc>
          <w:tcPr>
            <w:tcW w:w="1542" w:type="dxa"/>
          </w:tcPr>
          <w:p>
            <w:pPr/>
            <w:r>
              <w:t xml:space="preserve">Reported (vendor-supplied)</w:t>
            </w:r>
          </w:p>
        </w:tc>
      </w:tr>
      <w:tr>
        <w:tc>
          <w:tcPr>
            <w:tcW w:w="1560" w:type="dxa"/>
          </w:tcPr>
          <w:p>
            <w:pPr/>
            <w:r>
              <w:t xml:space="preserve">MyClassboard, MyClassCampus, Edunext, Schoollog</w:t>
            </w:r>
          </w:p>
        </w:tc>
        <w:tc>
          <w:tcPr>
            <w:tcW w:w="1504" w:type="dxa"/>
          </w:tcPr>
          <w:p>
            <w:pPr/>
            <w:r>
              <w:t xml:space="preserve">n/a</w:t>
            </w:r>
          </w:p>
        </w:tc>
        <w:tc>
          <w:tcPr>
            <w:tcW w:w="2091" w:type="dxa"/>
          </w:tcPr>
          <w:p>
            <w:pPr/>
            <w:r>
              <w:t xml:space="preserve">n/a</w:t>
            </w:r>
          </w:p>
        </w:tc>
        <w:tc>
          <w:tcPr>
            <w:tcW w:w="1312" w:type="dxa"/>
          </w:tcPr>
          <w:p>
            <w:pPr/>
            <w:r>
              <w:t xml:space="preserve">n/a</w:t>
            </w:r>
          </w:p>
        </w:tc>
        <w:tc>
          <w:tcPr>
            <w:tcW w:w="1351" w:type="dxa"/>
          </w:tcPr>
          <w:p>
            <w:pPr/>
            <w:r>
              <w:t xml:space="preserve">n/a</w:t>
            </w:r>
          </w:p>
        </w:tc>
        <w:tc>
          <w:tcPr>
            <w:tcW w:w="1542" w:type="dxa"/>
          </w:tcPr>
          <w:p>
            <w:pPr/>
            <w:r>
              <w:rPr>
                <w:b/>
              </w:rPr>
              <w:t xml:space="preserve">Unverified</w:t>
            </w:r>
          </w:p>
        </w:tc>
      </w:tr>
    </w:tbl>
    <w:p>
      <w:pPr/>
      <w:r>
        <w:t xml:space="preserve">Observations that matter for Vidya:</w:t>
      </w:r>
    </w:p>
    <w:p>
      <w:pPr>
        <w:pStyle w:val="ListParagraph"/>
        <w:numPr>
          <w:ilvl w:val="0"/>
          <w:numId w:val="3"/>
        </w:numPr>
      </w:pPr>
      <w:r>
        <w:t xml:space="preserve">Entab sells timetable substitution as an add-on, while Vidya already has it. That is a possible bundling advantage, not yet a validated need.</w:t>
      </w:r>
    </w:p>
    <w:p>
      <w:pPr>
        <w:pStyle w:val="ListParagraph"/>
        <w:numPr>
          <w:ilvl w:val="0"/>
          <w:numId w:val="3"/>
        </w:numPr>
      </w:pPr>
      <w:r>
        <w:t xml:space="preserve">Reviewers of Teachmint on G2 and Capterra praise attendance, fees and parent communication, and ask for expense management and deeper reporting. Basics appear adequate for at least some schools, so attendance and fee features alone are not an opening.</w:t>
      </w:r>
    </w:p>
    <w:p>
      <w:pPr>
        <w:pStyle w:val="ListParagraph"/>
        <w:numPr>
          <w:ilvl w:val="0"/>
          <w:numId w:val="3"/>
        </w:numPr>
      </w:pPr>
      <w:r>
        <w:t xml:space="preserve">Fedena is described by one aggregator as needing multi-module configuration and data cleanup before use (Reported).</w:t>
      </w:r>
    </w:p>
    <w:p>
      <w:pPr>
        <w:pStyle w:val="ListParagraph"/>
        <w:numPr>
          <w:ilvl w:val="0"/>
          <w:numId w:val="3"/>
        </w:numPr>
      </w:pPr>
      <w:r>
        <w:t xml:space="preserve">An aggregator summary lists Edunext issues (slow implementation, app and server problems, transport and exam limits), but that page is over three years old per search metadata.</w:t>
      </w:r>
    </w:p>
    <w:p>
      <w:pPr>
        <w:pStyle w:val="Heading2"/>
      </w:pPr>
      <w:r>
        <w:t xml:space="preserve">4. Price evidence: figures conflict and are mostly vendor-written</w:t>
      </w:r>
    </w:p>
    <w:tbl>
      <w:tblPr>
        <w:tblStyle w:val="TableGrid"/>
        <w:tblW w:w="0" w:type="auto"/>
        <w:tblLayout w:type="fixed"/>
        <w:tblLook w:val="04A0" w:firstRow="1" w:lastRow="0" w:firstColumn="0" w:lastColumn="0" w:noHBand="0" w:noVBand="1"/>
      </w:tblPr>
      <w:tblGrid>
        <w:gridCol w:w="3589"/>
        <w:gridCol w:w="2823"/>
        <w:gridCol w:w="2948"/>
      </w:tblGrid>
      <w:tr>
        <w:trPr>
          <w:tblHeader/>
        </w:trPr>
        <w:tc>
          <w:tcPr>
            <w:tcW w:w="3589" w:type="dxa"/>
            <w:shd w:val="clear" w:color="auto" w:fill="F2F2F2"/>
          </w:tcPr>
          <w:p>
            <w:pPr/>
            <w:r>
              <w:t xml:space="preserve">Figure</w:t>
            </w:r>
          </w:p>
        </w:tc>
        <w:tc>
          <w:tcPr>
            <w:tcW w:w="2823" w:type="dxa"/>
            <w:shd w:val="clear" w:color="auto" w:fill="F2F2F2"/>
          </w:tcPr>
          <w:p>
            <w:pPr/>
            <w:r>
              <w:t xml:space="preserve">Source and type</w:t>
            </w:r>
          </w:p>
        </w:tc>
        <w:tc>
          <w:tcPr>
            <w:tcW w:w="2948" w:type="dxa"/>
            <w:shd w:val="clear" w:color="auto" w:fill="F2F2F2"/>
          </w:tcPr>
          <w:p>
            <w:pPr/>
            <w:r>
              <w:t xml:space="preserve">Why it may differ</w:t>
            </w:r>
          </w:p>
        </w:tc>
      </w:tr>
      <w:tr>
        <w:tc>
          <w:tcPr>
            <w:tcW w:w="3589" w:type="dxa"/>
          </w:tcPr>
          <w:p>
            <w:pPr/>
            <w:r>
              <w:t xml:space="preserve">Entab Rs 1.5–8 lakh/yr; Rs 3–10 lakh year one for 1,000 students</w:t>
            </w:r>
          </w:p>
        </w:tc>
        <w:tc>
          <w:tcPr>
            <w:tcW w:w="2823" w:type="dxa"/>
          </w:tcPr>
          <w:p>
            <w:pPr/>
            <w:hyperlink r:id="rId8" w:history="1">
              <w:r>
                <w:rPr>
                  <w:rStyle w:val="Hyperlink"/>
                </w:rPr>
                <w:t xml:space="preserve">Fuzen comparison</w:t>
              </w:r>
            </w:hyperlink>
            <w:r>
              <w:t xml:space="preserve">, competitor vendor, 2026</w:t>
            </w:r>
          </w:p>
        </w:tc>
        <w:tc>
          <w:tcPr>
            <w:tcW w:w="2948" w:type="dxa"/>
          </w:tcPr>
          <w:p>
            <w:pPr/>
            <w:r>
              <w:t xml:space="preserve">Quote-based, per module, implementation fees</w:t>
            </w:r>
          </w:p>
        </w:tc>
      </w:tr>
      <w:tr>
        <w:tc>
          <w:tcPr>
            <w:tcW w:w="3589" w:type="dxa"/>
          </w:tcPr>
          <w:p>
            <w:pPr/>
            <w:r>
              <w:t xml:space="preserve">Entab Rs 25,000–80,000/yr</w:t>
            </w:r>
          </w:p>
        </w:tc>
        <w:tc>
          <w:tcPr>
            <w:tcW w:w="2823" w:type="dxa"/>
          </w:tcPr>
          <w:p>
            <w:pPr/>
            <w:hyperlink r:id="rId9" w:history="1">
              <w:r>
                <w:rPr>
                  <w:rStyle w:val="Hyperlink"/>
                </w:rPr>
                <w:t xml:space="preserve">Codingclave</w:t>
              </w:r>
            </w:hyperlink>
            <w:r>
              <w:t xml:space="preserve">, software vendor, 2026</w:t>
            </w:r>
          </w:p>
        </w:tc>
        <w:tc>
          <w:tcPr>
            <w:tcW w:w="2948" w:type="dxa"/>
          </w:tcPr>
          <w:p>
            <w:pPr/>
            <w:r>
              <w:t xml:space="preserve">Different school sizes and scope</w:t>
            </w:r>
          </w:p>
        </w:tc>
      </w:tr>
      <w:tr>
        <w:tc>
          <w:tcPr>
            <w:tcW w:w="3589" w:type="dxa"/>
          </w:tcPr>
          <w:p>
            <w:pPr/>
            <w:r>
              <w:t xml:space="preserve">Fedena $1,299/yr and $999</w:t>
            </w:r>
          </w:p>
        </w:tc>
        <w:tc>
          <w:tcPr>
            <w:tcW w:w="2823" w:type="dxa"/>
          </w:tcPr>
          <w:p>
            <w:pPr/>
            <w:hyperlink r:id="rId5" w:history="1">
              <w:r>
                <w:rPr>
                  <w:rStyle w:val="Hyperlink"/>
                </w:rPr>
                <w:t xml:space="preserve">Software Advice via GetApp</w:t>
              </w:r>
            </w:hyperlink>
            <w:r>
              <w:t xml:space="preserve">; </w:t>
            </w:r>
            <w:hyperlink r:id="rId10" w:history="1">
              <w:r>
                <w:rPr>
                  <w:rStyle w:val="Hyperlink"/>
                </w:rPr>
                <w:t xml:space="preserve">Fitgap</w:t>
              </w:r>
            </w:hyperlink>
          </w:p>
        </w:tc>
        <w:tc>
          <w:tcPr>
            <w:tcW w:w="2948" w:type="dxa"/>
          </w:tcPr>
          <w:p>
            <w:pPr/>
            <w:r>
              <w:t xml:space="preserve">Per feature versus per plan; listing dates</w:t>
            </w:r>
          </w:p>
        </w:tc>
      </w:tr>
      <w:tr>
        <w:tc>
          <w:tcPr>
            <w:tcW w:w="3589" w:type="dxa"/>
          </w:tcPr>
          <w:p>
            <w:pPr/>
            <w:r>
              <w:t xml:space="preserve">Teachmint Rs 100–300 per student per year</w:t>
            </w:r>
          </w:p>
        </w:tc>
        <w:tc>
          <w:tcPr>
            <w:tcW w:w="2823" w:type="dxa"/>
          </w:tcPr>
          <w:p>
            <w:pPr/>
            <w:r>
              <w:t xml:space="preserve">Fuzen, citing community discussions</w:t>
            </w:r>
          </w:p>
        </w:tc>
        <w:tc>
          <w:tcPr>
            <w:tcW w:w="2948" w:type="dxa"/>
          </w:tcPr>
          <w:p>
            <w:pPr/>
            <w:r>
              <w:t xml:space="preserve">Estimate by a competitor; free plan reported</w:t>
            </w:r>
          </w:p>
        </w:tc>
      </w:tr>
      <w:tr>
        <w:tc>
          <w:tcPr>
            <w:tcW w:w="3589" w:type="dxa"/>
          </w:tcPr>
          <w:p>
            <w:pPr/>
            <w:r>
              <w:t xml:space="preserve">Rs 150–600 per student per year core; Rs 600–1,500 with exams, transport, apps</w:t>
            </w:r>
          </w:p>
        </w:tc>
        <w:tc>
          <w:tcPr>
            <w:tcW w:w="2823" w:type="dxa"/>
          </w:tcPr>
          <w:p>
            <w:pPr/>
            <w:hyperlink r:id="rId11" w:history="1">
              <w:r>
                <w:rPr>
                  <w:rStyle w:val="Hyperlink"/>
                </w:rPr>
                <w:t xml:space="preserve">Opta Tech</w:t>
              </w:r>
            </w:hyperlink>
            <w:r>
              <w:t xml:space="preserve">, custom-build agency</w:t>
            </w:r>
          </w:p>
        </w:tc>
        <w:tc>
          <w:tcPr>
            <w:tcW w:w="2948" w:type="dxa"/>
          </w:tcPr>
          <w:p>
            <w:pPr/>
            <w:r>
              <w:t xml:space="preserve">Agency sells custom builds</w:t>
            </w:r>
          </w:p>
        </w:tc>
      </w:tr>
      <w:tr>
        <w:tc>
          <w:tcPr>
            <w:tcW w:w="3589" w:type="dxa"/>
          </w:tcPr>
          <w:p>
            <w:pPr/>
            <w:r>
              <w:t xml:space="preserve">Rs 0–7.81 per student per month</w:t>
            </w:r>
          </w:p>
        </w:tc>
        <w:tc>
          <w:tcPr>
            <w:tcW w:w="2823" w:type="dxa"/>
          </w:tcPr>
          <w:p>
            <w:pPr/>
            <w:hyperlink r:id="rId12" w:history="1">
              <w:r>
                <w:rPr>
                  <w:rStyle w:val="Hyperlink"/>
                </w:rPr>
                <w:t xml:space="preserve">AI EDU</w:t>
              </w:r>
            </w:hyperlink>
            <w:r>
              <w:t xml:space="preserve">, vendor</w:t>
            </w:r>
          </w:p>
        </w:tc>
        <w:tc>
          <w:tcPr>
            <w:tcW w:w="2948" w:type="dxa"/>
          </w:tcPr>
          <w:p>
            <w:pPr/>
            <w:r>
              <w:t xml:space="preserve">Vendor marketing</w:t>
            </w:r>
          </w:p>
        </w:tc>
      </w:tr>
    </w:tbl>
    <w:p>
      <w:pPr/>
      <w:r>
        <w:rPr>
          <w:b/>
        </w:rPr>
        <w:t xml:space="preserve">Resolved value: none.</w:t>
      </w:r>
      <w:r>
        <w:t xml:space="preserve"> Illustration only: at Rs 150–600 per student per year, an 800-student school would pay Rs 1.2–4.8 lakh a year. Vidya's real floor depends on per-tenant database cost, which has not been modeled.</w:t>
      </w:r>
    </w:p>
    <w:p>
      <w:pPr>
        <w:pStyle w:val="Heading2"/>
      </w:pPr>
      <w:r>
        <w:t xml:space="preserve">5. Customer problems: hypotheses and their evidence</w:t>
      </w:r>
    </w:p>
    <w:tbl>
      <w:tblPr>
        <w:tblStyle w:val="TableGrid"/>
        <w:tblW w:w="0" w:type="auto"/>
        <w:tblLayout w:type="fixed"/>
        <w:tblLook w:val="04A0" w:firstRow="1" w:lastRow="0" w:firstColumn="0" w:lastColumn="0" w:noHBand="0" w:noVBand="1"/>
      </w:tblPr>
      <w:tblGrid>
        <w:gridCol w:w="3096"/>
        <w:gridCol w:w="2380"/>
        <w:gridCol w:w="1583"/>
        <w:gridCol w:w="2301"/>
      </w:tblGrid>
      <w:tr>
        <w:trPr>
          <w:tblHeader/>
        </w:trPr>
        <w:tc>
          <w:tcPr>
            <w:tcW w:w="3096" w:type="dxa"/>
            <w:shd w:val="clear" w:color="auto" w:fill="F2F2F2"/>
          </w:tcPr>
          <w:p>
            <w:pPr/>
            <w:r>
              <w:t xml:space="preserve">Problem</w:t>
            </w:r>
          </w:p>
        </w:tc>
        <w:tc>
          <w:tcPr>
            <w:tcW w:w="2380" w:type="dxa"/>
            <w:shd w:val="clear" w:color="auto" w:fill="F2F2F2"/>
          </w:tcPr>
          <w:p>
            <w:pPr/>
            <w:r>
              <w:t xml:space="preserve">Evidence found</w:t>
            </w:r>
          </w:p>
        </w:tc>
        <w:tc>
          <w:tcPr>
            <w:tcW w:w="1583" w:type="dxa"/>
            <w:shd w:val="clear" w:color="auto" w:fill="F2F2F2"/>
          </w:tcPr>
          <w:p>
            <w:pPr/>
            <w:r>
              <w:t xml:space="preserve">Independent?</w:t>
            </w:r>
          </w:p>
        </w:tc>
        <w:tc>
          <w:tcPr>
            <w:tcW w:w="2301" w:type="dxa"/>
            <w:shd w:val="clear" w:color="auto" w:fill="F2F2F2"/>
          </w:tcPr>
          <w:p>
            <w:pPr/>
            <w:r>
              <w:t xml:space="preserve">Status</w:t>
            </w:r>
          </w:p>
        </w:tc>
      </w:tr>
      <w:tr>
        <w:tc>
          <w:tcPr>
            <w:tcW w:w="3096" w:type="dxa"/>
          </w:tcPr>
          <w:p>
            <w:pPr/>
            <w:r>
              <w:t xml:space="preserve">Fee follow-up consumes office hours; ERPs are passive ledgers with no recovery workflow (promise-to-pay, call logs)</w:t>
            </w:r>
          </w:p>
        </w:tc>
        <w:tc>
          <w:tcPr>
            <w:tcW w:w="2380" w:type="dxa"/>
          </w:tcPr>
          <w:p>
            <w:pPr/>
            <w:hyperlink r:id="rId13" w:history="1">
              <w:r>
                <w:rPr>
                  <w:rStyle w:val="Hyperlink"/>
                </w:rPr>
                <w:t xml:space="preserve">Vedaloop</w:t>
              </w:r>
            </w:hyperlink>
            <w:r>
              <w:t xml:space="preserve">, </w:t>
            </w:r>
            <w:hyperlink r:id="rId14" w:history="1">
              <w:r>
                <w:rPr>
                  <w:rStyle w:val="Hyperlink"/>
                </w:rPr>
                <w:t xml:space="preserve">FastFee</w:t>
              </w:r>
            </w:hyperlink>
            <w:r>
              <w:t xml:space="preserve">; both sell competing products</w:t>
            </w:r>
          </w:p>
        </w:tc>
        <w:tc>
          <w:tcPr>
            <w:tcW w:w="1583" w:type="dxa"/>
          </w:tcPr>
          <w:p>
            <w:pPr/>
            <w:r>
              <w:t xml:space="preserve">No</w:t>
            </w:r>
          </w:p>
        </w:tc>
        <w:tc>
          <w:tcPr>
            <w:tcW w:w="2301" w:type="dxa"/>
          </w:tcPr>
          <w:p>
            <w:pPr/>
            <w:r>
              <w:t xml:space="preserve">Hypothesis; </w:t>
            </w:r>
            <w:r>
              <w:rPr>
                <w:b/>
              </w:rPr>
              <w:t xml:space="preserve">possible gap, since no competitor page checked mentions recovery workflows</w:t>
            </w:r>
            <w:r>
              <w:t xml:space="preserve">, which is absence of evidence only</w:t>
            </w:r>
          </w:p>
        </w:tc>
      </w:tr>
      <w:tr>
        <w:tc>
          <w:tcPr>
            <w:tcW w:w="3096" w:type="dxa"/>
          </w:tcPr>
          <w:p>
            <w:pPr/>
            <w:r>
              <w:t xml:space="preserve">Per-module price creep</w:t>
            </w:r>
          </w:p>
        </w:tc>
        <w:tc>
          <w:tcPr>
            <w:tcW w:w="2380" w:type="dxa"/>
          </w:tcPr>
          <w:p>
            <w:pPr/>
            <w:r>
              <w:t xml:space="preserve">Vedaloop advice; Entab's own add-on module list shows how modules are split</w:t>
            </w:r>
          </w:p>
        </w:tc>
        <w:tc>
          <w:tcPr>
            <w:tcW w:w="1583" w:type="dxa"/>
          </w:tcPr>
          <w:p>
            <w:pPr/>
            <w:r>
              <w:t xml:space="preserve">Partly</w:t>
            </w:r>
          </w:p>
        </w:tc>
        <w:tc>
          <w:tcPr>
            <w:tcW w:w="2301" w:type="dxa"/>
          </w:tcPr>
          <w:p>
            <w:pPr/>
            <w:r>
              <w:t xml:space="preserve">Structure verified; complaints unverified</w:t>
            </w:r>
          </w:p>
        </w:tc>
      </w:tr>
      <w:tr>
        <w:tc>
          <w:tcPr>
            <w:tcW w:w="3096" w:type="dxa"/>
          </w:tcPr>
          <w:p>
            <w:pPr/>
            <w:r>
              <w:t xml:space="preserve">Migration and setup effort</w:t>
            </w:r>
          </w:p>
        </w:tc>
        <w:tc>
          <w:tcPr>
            <w:tcW w:w="2380" w:type="dxa"/>
          </w:tcPr>
          <w:p>
            <w:pPr/>
            <w:r>
              <w:t xml:space="preserve">Fitgap Fedena summary</w:t>
            </w:r>
          </w:p>
        </w:tc>
        <w:tc>
          <w:tcPr>
            <w:tcW w:w="1583" w:type="dxa"/>
          </w:tcPr>
          <w:p>
            <w:pPr/>
            <w:r>
              <w:t xml:space="preserve">Aggregator</w:t>
            </w:r>
          </w:p>
        </w:tc>
        <w:tc>
          <w:tcPr>
            <w:tcW w:w="2301" w:type="dxa"/>
          </w:tcPr>
          <w:p>
            <w:pPr/>
            <w:r>
              <w:t xml:space="preserve">Reported</w:t>
            </w:r>
          </w:p>
        </w:tc>
      </w:tr>
      <w:tr>
        <w:tc>
          <w:tcPr>
            <w:tcW w:w="3096" w:type="dxa"/>
          </w:tcPr>
          <w:p>
            <w:pPr/>
            <w:r>
              <w:t xml:space="preserve">Slow implementation, app problems</w:t>
            </w:r>
          </w:p>
        </w:tc>
        <w:tc>
          <w:tcPr>
            <w:tcW w:w="2380" w:type="dxa"/>
          </w:tcPr>
          <w:p>
            <w:pPr/>
            <w:r>
              <w:t xml:space="preserve">SoftwareSuggest on Edunext, dated</w:t>
            </w:r>
          </w:p>
        </w:tc>
        <w:tc>
          <w:tcPr>
            <w:tcW w:w="1583" w:type="dxa"/>
          </w:tcPr>
          <w:p>
            <w:pPr/>
            <w:r>
              <w:t xml:space="preserve">Aggregator</w:t>
            </w:r>
          </w:p>
        </w:tc>
        <w:tc>
          <w:tcPr>
            <w:tcW w:w="2301" w:type="dxa"/>
          </w:tcPr>
          <w:p>
            <w:pPr/>
            <w:r>
              <w:t xml:space="preserve">Reported, stale</w:t>
            </w:r>
          </w:p>
        </w:tc>
      </w:tr>
      <w:tr>
        <w:tc>
          <w:tcPr>
            <w:tcW w:w="3096" w:type="dxa"/>
          </w:tcPr>
          <w:p>
            <w:pPr/>
            <w:r>
              <w:t xml:space="preserve">Support in regional languages</w:t>
            </w:r>
          </w:p>
        </w:tc>
        <w:tc>
          <w:tcPr>
            <w:tcW w:w="2380" w:type="dxa"/>
          </w:tcPr>
          <w:p>
            <w:pPr/>
            <w:r>
              <w:t xml:space="preserve">Vedaloop (Telugu)</w:t>
            </w:r>
          </w:p>
        </w:tc>
        <w:tc>
          <w:tcPr>
            <w:tcW w:w="1583" w:type="dxa"/>
          </w:tcPr>
          <w:p>
            <w:pPr/>
            <w:r>
              <w:t xml:space="preserve">No</w:t>
            </w:r>
          </w:p>
        </w:tc>
        <w:tc>
          <w:tcPr>
            <w:tcW w:w="2301" w:type="dxa"/>
          </w:tcPr>
          <w:p>
            <w:pPr/>
            <w:r>
              <w:t xml:space="preserve">Unverified</w:t>
            </w:r>
          </w:p>
        </w:tc>
      </w:tr>
      <w:tr>
        <w:tc>
          <w:tcPr>
            <w:tcW w:w="3096" w:type="dxa"/>
          </w:tcPr>
          <w:p>
            <w:pPr/>
            <w:r>
              <w:t xml:space="preserve">Software slows as student numbers grow</w:t>
            </w:r>
          </w:p>
        </w:tc>
        <w:tc>
          <w:tcPr>
            <w:tcW w:w="2380" w:type="dxa"/>
          </w:tcPr>
          <w:p>
            <w:pPr/>
            <w:r>
              <w:t xml:space="preserve">Generic claim on SoftwareSuggest</w:t>
            </w:r>
          </w:p>
        </w:tc>
        <w:tc>
          <w:tcPr>
            <w:tcW w:w="1583" w:type="dxa"/>
          </w:tcPr>
          <w:p>
            <w:pPr/>
            <w:r>
              <w:t xml:space="preserve">No data</w:t>
            </w:r>
          </w:p>
        </w:tc>
        <w:tc>
          <w:tcPr>
            <w:tcW w:w="2301" w:type="dxa"/>
          </w:tcPr>
          <w:p>
            <w:pPr/>
            <w:r>
              <w:t xml:space="preserve">Unverified</w:t>
            </w:r>
          </w:p>
        </w:tc>
      </w:tr>
      <w:tr>
        <w:tc>
          <w:tcPr>
            <w:tcW w:w="3096" w:type="dxa"/>
          </w:tcPr>
          <w:p>
            <w:pPr/>
            <w:r>
              <w:t xml:space="preserve">Low adoption: daily use is mainly attendance, marks, report cards, fee reminders</w:t>
            </w:r>
          </w:p>
        </w:tc>
        <w:tc>
          <w:tcPr>
            <w:tcW w:w="2380" w:type="dxa"/>
          </w:tcPr>
          <w:p>
            <w:pPr/>
            <w:r>
              <w:t xml:space="preserve">Opta Tech advice</w:t>
            </w:r>
          </w:p>
        </w:tc>
        <w:tc>
          <w:tcPr>
            <w:tcW w:w="1583" w:type="dxa"/>
          </w:tcPr>
          <w:p>
            <w:pPr/>
            <w:r>
              <w:t xml:space="preserve">No</w:t>
            </w:r>
          </w:p>
        </w:tc>
        <w:tc>
          <w:tcPr>
            <w:tcW w:w="2301" w:type="dxa"/>
          </w:tcPr>
          <w:p>
            <w:pPr/>
            <w:r>
              <w:t xml:space="preserve">Opinion; useful as a pilot test, not as evidence</w:t>
            </w:r>
          </w:p>
        </w:tc>
      </w:tr>
    </w:tbl>
    <w:p>
      <w:pPr/>
      <w:r>
        <w:rPr>
          <w:b/>
        </w:rPr>
        <w:t xml:space="preserve">Customer validation remains incomplete.</w:t>
      </w:r>
      <w:r>
        <w:t xml:space="preserve"> A competitor feature gap is not a customer problem until a school describes the pain unprompted.</w:t>
      </w:r>
    </w:p>
    <w:p>
      <w:pPr>
        <w:pStyle w:val="Heading2"/>
      </w:pPr>
      <w:r>
        <w:t xml:space="preserve">6. Segment comparison (author judgment, not evidence)</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Segment</w:t>
            </w:r>
          </w:p>
        </w:tc>
        <w:tc>
          <w:tcPr>
            <w:tcW w:w="936" w:type="dxa"/>
            <w:shd w:val="clear" w:color="auto" w:fill="F2F2F2"/>
          </w:tcPr>
          <w:p>
            <w:pPr/>
            <w:r>
              <w:t xml:space="preserve">Pain</w:t>
            </w:r>
          </w:p>
        </w:tc>
        <w:tc>
          <w:tcPr>
            <w:tcW w:w="936" w:type="dxa"/>
            <w:shd w:val="clear" w:color="auto" w:fill="F2F2F2"/>
          </w:tcPr>
          <w:p>
            <w:pPr/>
            <w:r>
              <w:t xml:space="preserve">Willing to pay</w:t>
            </w:r>
          </w:p>
        </w:tc>
        <w:tc>
          <w:tcPr>
            <w:tcW w:w="936" w:type="dxa"/>
            <w:shd w:val="clear" w:color="auto" w:fill="F2F2F2"/>
          </w:tcPr>
          <w:p>
            <w:pPr/>
            <w:r>
              <w:t xml:space="preserve">Access to buyer</w:t>
            </w:r>
          </w:p>
        </w:tc>
        <w:tc>
          <w:tcPr>
            <w:tcW w:w="936" w:type="dxa"/>
            <w:shd w:val="clear" w:color="auto" w:fill="F2F2F2"/>
          </w:tcPr>
          <w:p>
            <w:pPr/>
            <w:r>
              <w:t xml:space="preserve">Competition</w:t>
            </w:r>
          </w:p>
        </w:tc>
        <w:tc>
          <w:tcPr>
            <w:tcW w:w="936" w:type="dxa"/>
            <w:shd w:val="clear" w:color="auto" w:fill="F2F2F2"/>
          </w:tcPr>
          <w:p>
            <w:pPr/>
            <w:r>
              <w:t xml:space="preserve">Onboarding effort</w:t>
            </w:r>
          </w:p>
        </w:tc>
        <w:tc>
          <w:tcPr>
            <w:tcW w:w="936" w:type="dxa"/>
            <w:shd w:val="clear" w:color="auto" w:fill="F2F2F2"/>
          </w:tcPr>
          <w:p>
            <w:pPr/>
            <w:r>
              <w:t xml:space="preserve">Sales cycle</w:t>
            </w:r>
          </w:p>
        </w:tc>
        <w:tc>
          <w:tcPr>
            <w:tcW w:w="936" w:type="dxa"/>
            <w:shd w:val="clear" w:color="auto" w:fill="F2F2F2"/>
          </w:tcPr>
          <w:p>
            <w:pPr/>
            <w:r>
              <w:t xml:space="preserve">Support burden</w:t>
            </w:r>
          </w:p>
        </w:tc>
        <w:tc>
          <w:tcPr>
            <w:tcW w:w="936" w:type="dxa"/>
            <w:shd w:val="clear" w:color="auto" w:fill="F2F2F2"/>
          </w:tcPr>
          <w:p>
            <w:pPr/>
            <w:r>
              <w:t xml:space="preserve">Retention</w:t>
            </w:r>
          </w:p>
        </w:tc>
        <w:tc>
          <w:tcPr>
            <w:tcW w:w="936" w:type="dxa"/>
            <w:shd w:val="clear" w:color="auto" w:fill="F2F2F2"/>
          </w:tcPr>
          <w:p>
            <w:pPr/>
            <w:r>
              <w:t xml:space="preserve">Fit with Vidya today</w:t>
            </w:r>
          </w:p>
        </w:tc>
      </w:tr>
      <w:tr>
        <w:tc>
          <w:tcPr>
            <w:tcW w:w="936" w:type="dxa"/>
          </w:tcPr>
          <w:p>
            <w:pPr/>
            <w:r>
              <w:t xml:space="preserve">Small (under 300)</w:t>
            </w:r>
          </w:p>
        </w:tc>
        <w:tc>
          <w:tcPr>
            <w:tcW w:w="936" w:type="dxa"/>
          </w:tcPr>
          <w:p>
            <w:pPr/>
            <w:r>
              <w:t xml:space="preserve">Medium</w:t>
            </w:r>
          </w:p>
        </w:tc>
        <w:tc>
          <w:tcPr>
            <w:tcW w:w="936" w:type="dxa"/>
          </w:tcPr>
          <w:p>
            <w:pPr/>
            <w:r>
              <w:t xml:space="preserve">Low (free plans)</w:t>
            </w:r>
          </w:p>
        </w:tc>
        <w:tc>
          <w:tcPr>
            <w:tcW w:w="936" w:type="dxa"/>
          </w:tcPr>
          <w:p>
            <w:pPr/>
            <w:r>
              <w:t xml:space="preserve">High</w:t>
            </w:r>
          </w:p>
        </w:tc>
        <w:tc>
          <w:tcPr>
            <w:tcW w:w="936" w:type="dxa"/>
          </w:tcPr>
          <w:p>
            <w:pPr/>
            <w:r>
              <w:t xml:space="preserve">High</w:t>
            </w:r>
          </w:p>
        </w:tc>
        <w:tc>
          <w:tcPr>
            <w:tcW w:w="936" w:type="dxa"/>
          </w:tcPr>
          <w:p>
            <w:pPr/>
            <w:r>
              <w:t xml:space="preserve">Low</w:t>
            </w:r>
          </w:p>
        </w:tc>
        <w:tc>
          <w:tcPr>
            <w:tcW w:w="936" w:type="dxa"/>
          </w:tcPr>
          <w:p>
            <w:pPr/>
            <w:r>
              <w:t xml:space="preserve">Short</w:t>
            </w:r>
          </w:p>
        </w:tc>
        <w:tc>
          <w:tcPr>
            <w:tcW w:w="936" w:type="dxa"/>
          </w:tcPr>
          <w:p>
            <w:pPr/>
            <w:r>
              <w:t xml:space="preserve">High per rupee</w:t>
            </w:r>
          </w:p>
        </w:tc>
        <w:tc>
          <w:tcPr>
            <w:tcW w:w="936" w:type="dxa"/>
          </w:tcPr>
          <w:p>
            <w:pPr/>
            <w:r>
              <w:t xml:space="preserve">Medium</w:t>
            </w:r>
          </w:p>
        </w:tc>
        <w:tc>
          <w:tcPr>
            <w:tcW w:w="936" w:type="dxa"/>
          </w:tcPr>
          <w:p>
            <w:pPr/>
            <w:r>
              <w:t xml:space="preserve">Medium; per-tenant database cost is a risk</w:t>
            </w:r>
          </w:p>
        </w:tc>
      </w:tr>
      <w:tr>
        <w:tc>
          <w:tcPr>
            <w:tcW w:w="936" w:type="dxa"/>
          </w:tcPr>
          <w:p>
            <w:pPr/>
            <w:r>
              <w:rPr>
                <w:b/>
              </w:rPr>
              <w:t xml:space="preserve">Medium single campus (300–1,500)</w:t>
            </w:r>
          </w:p>
        </w:tc>
        <w:tc>
          <w:tcPr>
            <w:tcW w:w="936" w:type="dxa"/>
          </w:tcPr>
          <w:p>
            <w:pPr/>
            <w:r>
              <w:t xml:space="preserve">Medium-high</w:t>
            </w:r>
          </w:p>
        </w:tc>
        <w:tc>
          <w:tcPr>
            <w:tcW w:w="936" w:type="dxa"/>
          </w:tcPr>
          <w:p>
            <w:pPr/>
            <w:r>
              <w:t xml:space="preserve">Medium</w:t>
            </w:r>
          </w:p>
        </w:tc>
        <w:tc>
          <w:tcPr>
            <w:tcW w:w="936" w:type="dxa"/>
          </w:tcPr>
          <w:p>
            <w:pPr/>
            <w:r>
              <w:t xml:space="preserve">High</w:t>
            </w:r>
          </w:p>
        </w:tc>
        <w:tc>
          <w:tcPr>
            <w:tcW w:w="936" w:type="dxa"/>
          </w:tcPr>
          <w:p>
            <w:pPr/>
            <w:r>
              <w:t xml:space="preserve">High</w:t>
            </w:r>
          </w:p>
        </w:tc>
        <w:tc>
          <w:tcPr>
            <w:tcW w:w="936" w:type="dxa"/>
          </w:tcPr>
          <w:p>
            <w:pPr/>
            <w:r>
              <w:t xml:space="preserve">Medium</w:t>
            </w:r>
          </w:p>
        </w:tc>
        <w:tc>
          <w:tcPr>
            <w:tcW w:w="936" w:type="dxa"/>
          </w:tcPr>
          <w:p>
            <w:pPr/>
            <w:r>
              <w:t xml:space="preserve">Medium</w:t>
            </w:r>
          </w:p>
        </w:tc>
        <w:tc>
          <w:tcPr>
            <w:tcW w:w="936" w:type="dxa"/>
          </w:tcPr>
          <w:p>
            <w:pPr/>
            <w:r>
              <w:t xml:space="preserve">Medium</w:t>
            </w:r>
          </w:p>
        </w:tc>
        <w:tc>
          <w:tcPr>
            <w:tcW w:w="936" w:type="dxa"/>
          </w:tcPr>
          <w:p>
            <w:pPr/>
            <w:r>
              <w:t xml:space="preserve">High once fees run on it</w:t>
            </w:r>
          </w:p>
        </w:tc>
        <w:tc>
          <w:tcPr>
            <w:tcW w:w="936" w:type="dxa"/>
          </w:tcPr>
          <w:p>
            <w:pPr/>
            <w:r>
              <w:rPr>
                <w:b/>
              </w:rPr>
              <w:t xml:space="preserve">High</w:t>
            </w:r>
          </w:p>
        </w:tc>
      </w:tr>
      <w:tr>
        <w:tc>
          <w:tcPr>
            <w:tcW w:w="936" w:type="dxa"/>
          </w:tcPr>
          <w:p>
            <w:pPr/>
            <w:r>
              <w:t xml:space="preserve">Large single campus (1,500+)</w:t>
            </w:r>
          </w:p>
        </w:tc>
        <w:tc>
          <w:tcPr>
            <w:tcW w:w="936" w:type="dxa"/>
          </w:tcPr>
          <w:p>
            <w:pPr/>
            <w:r>
              <w:t xml:space="preserve">High</w:t>
            </w:r>
          </w:p>
        </w:tc>
        <w:tc>
          <w:tcPr>
            <w:tcW w:w="936" w:type="dxa"/>
          </w:tcPr>
          <w:p>
            <w:pPr/>
            <w:r>
              <w:t xml:space="preserve">High</w:t>
            </w:r>
          </w:p>
        </w:tc>
        <w:tc>
          <w:tcPr>
            <w:tcW w:w="936" w:type="dxa"/>
          </w:tcPr>
          <w:p>
            <w:pPr/>
            <w:r>
              <w:t xml:space="preserve">Medium</w:t>
            </w:r>
          </w:p>
        </w:tc>
        <w:tc>
          <w:tcPr>
            <w:tcW w:w="936" w:type="dxa"/>
          </w:tcPr>
          <w:p>
            <w:pPr/>
            <w:r>
              <w:t xml:space="preserve">High (Entab)</w:t>
            </w:r>
          </w:p>
        </w:tc>
        <w:tc>
          <w:tcPr>
            <w:tcW w:w="936" w:type="dxa"/>
          </w:tcPr>
          <w:p>
            <w:pPr/>
            <w:r>
              <w:t xml:space="preserve">High</w:t>
            </w:r>
          </w:p>
        </w:tc>
        <w:tc>
          <w:tcPr>
            <w:tcW w:w="936" w:type="dxa"/>
          </w:tcPr>
          <w:p>
            <w:pPr/>
            <w:r>
              <w:t xml:space="preserve">Long</w:t>
            </w:r>
          </w:p>
        </w:tc>
        <w:tc>
          <w:tcPr>
            <w:tcW w:w="936" w:type="dxa"/>
          </w:tcPr>
          <w:p>
            <w:pPr/>
            <w:r>
              <w:t xml:space="preserve">High</w:t>
            </w:r>
          </w:p>
        </w:tc>
        <w:tc>
          <w:tcPr>
            <w:tcW w:w="936" w:type="dxa"/>
          </w:tcPr>
          <w:p>
            <w:pPr/>
            <w:r>
              <w:t xml:space="preserve">High</w:t>
            </w:r>
          </w:p>
        </w:tc>
        <w:tc>
          <w:tcPr>
            <w:tcW w:w="936" w:type="dxa"/>
          </w:tcPr>
          <w:p>
            <w:pPr/>
            <w:r>
              <w:t xml:space="preserve">Low-medium: needs fees, exams, transport, integrations</w:t>
            </w:r>
          </w:p>
        </w:tc>
      </w:tr>
      <w:tr>
        <w:tc>
          <w:tcPr>
            <w:tcW w:w="936" w:type="dxa"/>
          </w:tcPr>
          <w:p>
            <w:pPr/>
            <w:r>
              <w:t xml:space="preserve">Multi-branch group (2–10)</w:t>
            </w:r>
          </w:p>
        </w:tc>
        <w:tc>
          <w:tcPr>
            <w:tcW w:w="936" w:type="dxa"/>
          </w:tcPr>
          <w:p>
            <w:pPr/>
            <w:r>
              <w:t xml:space="preserve">High (consolidated view; unverified)</w:t>
            </w:r>
          </w:p>
        </w:tc>
        <w:tc>
          <w:tcPr>
            <w:tcW w:w="936" w:type="dxa"/>
          </w:tcPr>
          <w:p>
            <w:pPr/>
            <w:r>
              <w:t xml:space="preserve">Medium-high</w:t>
            </w:r>
          </w:p>
        </w:tc>
        <w:tc>
          <w:tcPr>
            <w:tcW w:w="936" w:type="dxa"/>
          </w:tcPr>
          <w:p>
            <w:pPr/>
            <w:r>
              <w:t xml:space="preserve">Medium</w:t>
            </w:r>
          </w:p>
        </w:tc>
        <w:tc>
          <w:tcPr>
            <w:tcW w:w="936" w:type="dxa"/>
          </w:tcPr>
          <w:p>
            <w:pPr/>
            <w:r>
              <w:t xml:space="preserve">Medium (claims exist, depth unverified)</w:t>
            </w:r>
          </w:p>
        </w:tc>
        <w:tc>
          <w:tcPr>
            <w:tcW w:w="936" w:type="dxa"/>
          </w:tcPr>
          <w:p>
            <w:pPr/>
            <w:r>
              <w:t xml:space="preserve">High</w:t>
            </w:r>
          </w:p>
        </w:tc>
        <w:tc>
          <w:tcPr>
            <w:tcW w:w="936" w:type="dxa"/>
          </w:tcPr>
          <w:p>
            <w:pPr/>
            <w:r>
              <w:t xml:space="preserve">Long</w:t>
            </w:r>
          </w:p>
        </w:tc>
        <w:tc>
          <w:tcPr>
            <w:tcW w:w="936" w:type="dxa"/>
          </w:tcPr>
          <w:p>
            <w:pPr/>
            <w:r>
              <w:t xml:space="preserve">Medium</w:t>
            </w:r>
          </w:p>
        </w:tc>
        <w:tc>
          <w:tcPr>
            <w:tcW w:w="936" w:type="dxa"/>
          </w:tcPr>
          <w:p>
            <w:pPr/>
            <w:r>
              <w:t xml:space="preserve">High</w:t>
            </w:r>
          </w:p>
        </w:tc>
        <w:tc>
          <w:tcPr>
            <w:tcW w:w="936" w:type="dxa"/>
          </w:tcPr>
          <w:p>
            <w:pPr/>
            <w:r>
              <w:t xml:space="preserve">Medium: community networks exist, branch analytics do not</w:t>
            </w:r>
          </w:p>
        </w:tc>
      </w:tr>
      <w:tr>
        <w:tc>
          <w:tcPr>
            <w:tcW w:w="936" w:type="dxa"/>
          </w:tcPr>
          <w:p>
            <w:pPr/>
            <w:r>
              <w:t xml:space="preserve">Low-IT schools</w:t>
            </w:r>
          </w:p>
        </w:tc>
        <w:tc>
          <w:tcPr>
            <w:tcW w:w="936" w:type="dxa"/>
          </w:tcPr>
          <w:p>
            <w:pPr/>
            <w:r>
              <w:t xml:space="preserve">Medium</w:t>
            </w:r>
          </w:p>
        </w:tc>
        <w:tc>
          <w:tcPr>
            <w:tcW w:w="936" w:type="dxa"/>
          </w:tcPr>
          <w:p>
            <w:pPr/>
            <w:r>
              <w:t xml:space="preserve">Low-medium</w:t>
            </w:r>
          </w:p>
        </w:tc>
        <w:tc>
          <w:tcPr>
            <w:tcW w:w="936" w:type="dxa"/>
          </w:tcPr>
          <w:p>
            <w:pPr/>
            <w:r>
              <w:t xml:space="preserve">High</w:t>
            </w:r>
          </w:p>
        </w:tc>
        <w:tc>
          <w:tcPr>
            <w:tcW w:w="936" w:type="dxa"/>
          </w:tcPr>
          <w:p>
            <w:pPr/>
            <w:r>
              <w:t xml:space="preserve">High</w:t>
            </w:r>
          </w:p>
        </w:tc>
        <w:tc>
          <w:tcPr>
            <w:tcW w:w="936" w:type="dxa"/>
          </w:tcPr>
          <w:p>
            <w:pPr/>
            <w:r>
              <w:t xml:space="preserve">High</w:t>
            </w:r>
          </w:p>
        </w:tc>
        <w:tc>
          <w:tcPr>
            <w:tcW w:w="936" w:type="dxa"/>
          </w:tcPr>
          <w:p>
            <w:pPr/>
            <w:r>
              <w:t xml:space="preserve">Medium</w:t>
            </w:r>
          </w:p>
        </w:tc>
        <w:tc>
          <w:tcPr>
            <w:tcW w:w="936" w:type="dxa"/>
          </w:tcPr>
          <w:p>
            <w:pPr/>
            <w:r>
              <w:t xml:space="preserve">High</w:t>
            </w:r>
          </w:p>
        </w:tc>
        <w:tc>
          <w:tcPr>
            <w:tcW w:w="936" w:type="dxa"/>
          </w:tcPr>
          <w:p>
            <w:pPr/>
            <w:r>
              <w:t xml:space="preserve">Medium</w:t>
            </w:r>
          </w:p>
        </w:tc>
        <w:tc>
          <w:tcPr>
            <w:tcW w:w="936" w:type="dxa"/>
          </w:tcPr>
          <w:p>
            <w:pPr/>
            <w:r>
              <w:t xml:space="preserve">Needs assisted onboarding</w:t>
            </w:r>
          </w:p>
        </w:tc>
      </w:tr>
    </w:tbl>
    <w:p>
      <w:pPr/>
      <w:r>
        <w:rPr>
          <w:b/>
        </w:rPr>
        <w:t xml:space="preserve">Recommendation:</w:t>
      </w:r>
      <w:r>
        <w:t xml:space="preserve"> keep the medium single-campus school as the working beachhead because of fit and a shorter cycle, but interview multi-branch groups in Phase 0 and choose after the interviews. Evidence still needed: willingness to pay above the free-plan alternative, who signs, and when schools switch vendors (academic-year timing is assumed, not verified).</w:t>
      </w:r>
    </w:p>
    <w:p>
      <w:pPr>
        <w:pStyle w:val="Heading2"/>
      </w:pPr>
      <w:r>
        <w:t xml:space="preserve">7. Differentiation candidates, ranked by evidence</w:t>
      </w:r>
    </w:p>
    <w:tbl>
      <w:tblPr>
        <w:tblStyle w:val="TableGrid"/>
        <w:tblW w:w="0" w:type="auto"/>
        <w:tblLayout w:type="fixed"/>
        <w:tblLook w:val="04A0" w:firstRow="1" w:lastRow="0" w:firstColumn="0" w:lastColumn="0" w:noHBand="0" w:noVBand="1"/>
      </w:tblPr>
      <w:tblGrid>
        <w:gridCol w:w="2841"/>
        <w:gridCol w:w="2275"/>
        <w:gridCol w:w="2643"/>
        <w:gridCol w:w="1600"/>
      </w:tblGrid>
      <w:tr>
        <w:trPr>
          <w:tblHeader/>
        </w:trPr>
        <w:tc>
          <w:tcPr>
            <w:tcW w:w="2841" w:type="dxa"/>
            <w:shd w:val="clear" w:color="auto" w:fill="F2F2F2"/>
          </w:tcPr>
          <w:p>
            <w:pPr/>
            <w:r>
              <w:t xml:space="preserve">Candidate</w:t>
            </w:r>
          </w:p>
        </w:tc>
        <w:tc>
          <w:tcPr>
            <w:tcW w:w="2275" w:type="dxa"/>
            <w:shd w:val="clear" w:color="auto" w:fill="F2F2F2"/>
          </w:tcPr>
          <w:p>
            <w:pPr/>
            <w:r>
              <w:t xml:space="preserve">Evidence</w:t>
            </w:r>
          </w:p>
        </w:tc>
        <w:tc>
          <w:tcPr>
            <w:tcW w:w="2643" w:type="dxa"/>
            <w:shd w:val="clear" w:color="auto" w:fill="F2F2F2"/>
          </w:tcPr>
          <w:p>
            <w:pPr/>
            <w:r>
              <w:t xml:space="preserve">Easily copied?</w:t>
            </w:r>
          </w:p>
        </w:tc>
        <w:tc>
          <w:tcPr>
            <w:tcW w:w="1600" w:type="dxa"/>
            <w:shd w:val="clear" w:color="auto" w:fill="F2F2F2"/>
          </w:tcPr>
          <w:p>
            <w:pPr/>
            <w:r>
              <w:t xml:space="preserve">Verdict</w:t>
            </w:r>
          </w:p>
        </w:tc>
      </w:tr>
      <w:tr>
        <w:tc>
          <w:tcPr>
            <w:tcW w:w="2841" w:type="dxa"/>
          </w:tcPr>
          <w:p>
            <w:pPr/>
            <w:r>
              <w:t xml:space="preserve">DPDP-ready data handling: per-tenant database isolation, access logs, breach support, parent-consent flows</w:t>
            </w:r>
          </w:p>
        </w:tc>
        <w:tc>
          <w:tcPr>
            <w:tcW w:w="2275" w:type="dxa"/>
          </w:tcPr>
          <w:p>
            <w:pPr/>
            <w:r>
              <w:rPr>
                <w:b/>
              </w:rPr>
              <w:t xml:space="preserve">Legal deadlines verified</w:t>
            </w:r>
            <w:r>
              <w:t xml:space="preserve">; demand and willingness to pay unproven</w:t>
            </w:r>
          </w:p>
        </w:tc>
        <w:tc>
          <w:tcPr>
            <w:tcW w:w="2643" w:type="dxa"/>
          </w:tcPr>
          <w:p>
            <w:pPr/>
            <w:r>
              <w:t xml:space="preserve">Claims are easy; per-tenant physical isolation is hard to retrofit, but competitors' architectures are unverified</w:t>
            </w:r>
          </w:p>
        </w:tc>
        <w:tc>
          <w:tcPr>
            <w:tcW w:w="1600" w:type="dxa"/>
          </w:tcPr>
          <w:p>
            <w:pPr/>
            <w:r>
              <w:rPr>
                <w:b/>
              </w:rPr>
              <w:t xml:space="preserve">Strongest evidence-backed opening, still unvalidated</w:t>
            </w:r>
          </w:p>
        </w:tc>
      </w:tr>
      <w:tr>
        <w:tc>
          <w:tcPr>
            <w:tcW w:w="2841" w:type="dxa"/>
          </w:tcPr>
          <w:p>
            <w:pPr/>
            <w:r>
              <w:t xml:space="preserve">Assisted migration and fast setup</w:t>
            </w:r>
          </w:p>
        </w:tc>
        <w:tc>
          <w:tcPr>
            <w:tcW w:w="2275" w:type="dxa"/>
          </w:tcPr>
          <w:p>
            <w:pPr/>
            <w:r>
              <w:t xml:space="preserve">Reported pain (Fedena)</w:t>
            </w:r>
          </w:p>
        </w:tc>
        <w:tc>
          <w:tcPr>
            <w:tcW w:w="2643" w:type="dxa"/>
          </w:tcPr>
          <w:p>
            <w:pPr/>
            <w:r>
              <w:t xml:space="preserve">Service is copyable; tooling and know-how are durable</w:t>
            </w:r>
          </w:p>
        </w:tc>
        <w:tc>
          <w:tcPr>
            <w:tcW w:w="1600" w:type="dxa"/>
          </w:tcPr>
          <w:p>
            <w:pPr/>
            <w:r>
              <w:t xml:space="preserve">Test first</w:t>
            </w:r>
          </w:p>
        </w:tc>
      </w:tr>
      <w:tr>
        <w:tc>
          <w:tcPr>
            <w:tcW w:w="2841" w:type="dxa"/>
          </w:tcPr>
          <w:p>
            <w:pPr/>
            <w:r>
              <w:t xml:space="preserve">Fee recovery workflow</w:t>
            </w:r>
          </w:p>
        </w:tc>
        <w:tc>
          <w:tcPr>
            <w:tcW w:w="2275" w:type="dxa"/>
          </w:tcPr>
          <w:p>
            <w:pPr/>
            <w:r>
              <w:t xml:space="preserve">Vendor-claimed only</w:t>
            </w:r>
          </w:p>
        </w:tc>
        <w:tc>
          <w:tcPr>
            <w:tcW w:w="2643" w:type="dxa"/>
          </w:tcPr>
          <w:p>
            <w:pPr/>
            <w:r>
              <w:t xml:space="preserve">Copyable</w:t>
            </w:r>
          </w:p>
        </w:tc>
        <w:tc>
          <w:tcPr>
            <w:tcW w:w="1600" w:type="dxa"/>
          </w:tcPr>
          <w:p>
            <w:pPr/>
            <w:r>
              <w:t xml:space="preserve">Test with accountants</w:t>
            </w:r>
          </w:p>
        </w:tc>
      </w:tr>
      <w:tr>
        <w:tc>
          <w:tcPr>
            <w:tcW w:w="2841" w:type="dxa"/>
          </w:tcPr>
          <w:p>
            <w:pPr/>
            <w:r>
              <w:t xml:space="preserve">Transparent all-inclusive pricing</w:t>
            </w:r>
          </w:p>
        </w:tc>
        <w:tc>
          <w:tcPr>
            <w:tcW w:w="2275" w:type="dxa"/>
          </w:tcPr>
          <w:p>
            <w:pPr/>
            <w:r>
              <w:t xml:space="preserve">Vendor-claimed; add-on structure verified at Entab</w:t>
            </w:r>
          </w:p>
        </w:tc>
        <w:tc>
          <w:tcPr>
            <w:tcW w:w="2643" w:type="dxa"/>
          </w:tcPr>
          <w:p>
            <w:pPr/>
            <w:r>
              <w:t xml:space="preserve">Easily copied</w:t>
            </w:r>
          </w:p>
        </w:tc>
        <w:tc>
          <w:tcPr>
            <w:tcW w:w="1600" w:type="dxa"/>
          </w:tcPr>
          <w:p>
            <w:pPr/>
            <w:r>
              <w:t xml:space="preserve">Weak alone</w:t>
            </w:r>
          </w:p>
        </w:tc>
      </w:tr>
      <w:tr>
        <w:tc>
          <w:tcPr>
            <w:tcW w:w="2841" w:type="dxa"/>
          </w:tcPr>
          <w:p>
            <w:pPr/>
            <w:r>
              <w:t xml:space="preserve">Feature breadth</w:t>
            </w:r>
          </w:p>
        </w:tc>
        <w:tc>
          <w:tcPr>
            <w:tcW w:w="2275" w:type="dxa"/>
          </w:tcPr>
          <w:p>
            <w:pPr/>
            <w:r>
              <w:t xml:space="preserve">None</w:t>
            </w:r>
          </w:p>
        </w:tc>
        <w:tc>
          <w:tcPr>
            <w:tcW w:w="2643" w:type="dxa"/>
          </w:tcPr>
          <w:p>
            <w:pPr/>
            <w:r>
              <w:t xml:space="preserve">n/a</w:t>
            </w:r>
          </w:p>
        </w:tc>
        <w:tc>
          <w:tcPr>
            <w:tcW w:w="1600" w:type="dxa"/>
          </w:tcPr>
          <w:p>
            <w:pPr/>
            <w:r>
              <w:t xml:space="preserve">Do not pursue</w:t>
            </w:r>
          </w:p>
        </w:tc>
      </w:tr>
    </w:tbl>
    <w:p>
      <w:pPr>
        <w:pStyle w:val="Heading2"/>
      </w:pPr>
      <w:r>
        <w:t xml:space="preserve">8. Verified legal and technical baseline</w:t>
      </w:r>
    </w:p>
    <w:p>
      <w:pPr/>
      <w:r>
        <w:rPr>
          <w:b/>
        </w:rPr>
        <w:t xml:space="preserve">DPDP Rules 2025</w:t>
      </w:r>
      <w:r>
        <w:t xml:space="preserve"> (</w:t>
      </w:r>
      <w:hyperlink r:id="rId15" w:history="1">
        <w:r>
          <w:rPr>
            <w:rStyle w:val="Hyperlink"/>
          </w:rPr>
          <w:t xml:space="preserve">Gazette G.S.R. 846(E), 13 Nov 2025, read via mirror</w:t>
        </w:r>
      </w:hyperlink>
      <w:r>
        <w:t xml:space="preserve">). Secondary sources say 14 November 2025 for publication; the Gazette text is dated 13 November. Confirm against meity.gov.in.</w:t>
      </w:r>
    </w:p>
    <w:p>
      <w:pPr>
        <w:pStyle w:val="ListParagraph"/>
        <w:numPr>
          <w:ilvl w:val="0"/>
          <w:numId w:val="4"/>
        </w:numPr>
      </w:pPr>
      <w:r>
        <w:rPr>
          <w:b/>
        </w:rPr>
        <w:t xml:space="preserve">Commencement (Rule 1):</w:t>
      </w:r>
      <w:r>
        <w:t xml:space="preserve"> Rules 1, 2 and 17–21 on publication; Rule 4 (consent managers) after one year, about 13 Nov 2026; Rules 3, 5–16, 22, 23 after eighteen months, about </w:t>
      </w:r>
      <w:r>
        <w:rPr>
          <w:b/>
        </w:rPr>
        <w:t xml:space="preserve">13 May 2027</w:t>
      </w:r>
      <w:r>
        <w:t xml:space="preserve">.</w:t>
      </w:r>
    </w:p>
    <w:p>
      <w:pPr>
        <w:pStyle w:val="ListParagraph"/>
        <w:numPr>
          <w:ilvl w:val="0"/>
          <w:numId w:val="4"/>
        </w:numPr>
      </w:pPr>
      <w:r>
        <w:rPr>
          <w:b/>
        </w:rPr>
        <w:t xml:space="preserve">Security (Rule 6):</w:t>
      </w:r>
      <w:r>
        <w:t xml:space="preserve"> encryption, masking or tokens; access control; logs and monitoring; backups for continuity; logs and personal data kept one year for investigation; processor contracts with safeguards.</w:t>
      </w:r>
    </w:p>
    <w:p>
      <w:pPr>
        <w:pStyle w:val="ListParagraph"/>
        <w:numPr>
          <w:ilvl w:val="0"/>
          <w:numId w:val="4"/>
        </w:numPr>
      </w:pPr>
      <w:r>
        <w:rPr>
          <w:b/>
        </w:rPr>
        <w:t xml:space="preserve">Breach (Rule 7):</w:t>
      </w:r>
      <w:r>
        <w:t xml:space="preserve"> notify affected people without delay; notify the Board without delay and give detailed information within 72 hours.</w:t>
      </w:r>
    </w:p>
    <w:p>
      <w:pPr>
        <w:pStyle w:val="ListParagraph"/>
        <w:numPr>
          <w:ilvl w:val="0"/>
          <w:numId w:val="4"/>
        </w:numPr>
      </w:pPr>
      <w:r>
        <w:rPr>
          <w:b/>
        </w:rPr>
        <w:t xml:space="preserve">Retention (Rule 8(3)):</w:t>
      </w:r>
      <w:r>
        <w:t xml:space="preserve"> personal data, traffic data and logs kept at least one year for specified purposes.</w:t>
      </w:r>
    </w:p>
    <w:p>
      <w:pPr>
        <w:pStyle w:val="ListParagraph"/>
        <w:numPr>
          <w:ilvl w:val="0"/>
          <w:numId w:val="4"/>
        </w:numPr>
      </w:pPr>
      <w:r>
        <w:rPr>
          <w:b/>
        </w:rPr>
        <w:t xml:space="preserve">Children (Rule 10):</w:t>
      </w:r>
      <w:r>
        <w:t xml:space="preserve"> verifiable parental consent before processing a child's data, with a check that the parent is an identifiable adult.</w:t>
      </w:r>
    </w:p>
    <w:p>
      <w:pPr>
        <w:pStyle w:val="ListParagraph"/>
        <w:numPr>
          <w:ilvl w:val="0"/>
          <w:numId w:val="4"/>
        </w:numPr>
      </w:pPr>
      <w:r>
        <w:rPr>
          <w:b/>
        </w:rPr>
        <w:t xml:space="preserve">Exemption (Rule 12, Fourth Schedule item 3):</w:t>
      </w:r>
      <w:r>
        <w:t xml:space="preserve"> section 9(1) and (3) do not apply to educational institutions, but only where processing is restricted to tracking and behavioural monitoring for the institution's educational activities or children's safety.</w:t>
      </w:r>
    </w:p>
    <w:p>
      <w:pPr>
        <w:pStyle w:val="ListParagraph"/>
        <w:numPr>
          <w:ilvl w:val="0"/>
          <w:numId w:val="4"/>
        </w:numPr>
      </w:pPr>
      <w:r>
        <w:rPr>
          <w:b/>
        </w:rPr>
        <w:t xml:space="preserve">Grievances (Rule 14(3)):</w:t>
      </w:r>
      <w:r>
        <w:t xml:space="preserve"> response period not exceeding 90 days.</w:t>
      </w:r>
    </w:p>
    <w:p>
      <w:pPr/>
      <w:r>
        <w:rPr>
          <w:b/>
        </w:rPr>
        <w:t xml:space="preserve">For legal review:</w:t>
      </w:r>
      <w:r>
        <w:t xml:space="preserve"> the school is likely the fiduciary and Vidya a processor, but this is not confirmed; whether fee, parent-portal and notification processing falls inside the exemption is unclear; consent design for parents.</w:t>
      </w:r>
    </w:p>
    <w:p>
      <w:pPr/>
      <w:r>
        <w:rPr>
          <w:b/>
        </w:rPr>
        <w:t xml:space="preserve">Spring Boot:</w:t>
      </w:r>
      <w:r>
        <w:t xml:space="preserve"> the </w:t>
      </w:r>
      <w:hyperlink r:id="rId16" w:history="1">
        <w:r>
          <w:rPr>
            <w:rStyle w:val="Hyperlink"/>
          </w:rPr>
          <w:t xml:space="preserve">official 4.1 system-requirements page</w:t>
        </w:r>
      </w:hyperlink>
      <w:r>
        <w:t xml:space="preserve"> says it needs Java 17 or later, is compatible up to and including Java 25, requires Spring Framework 7.x, and supports Tomcat 11 (Servlet 6.1) with Gradle 8.14+ or 9 or Maven 3.6.3+. Compatibility of Spring Session, Lettuce, Hibernate, Flyway and Testcontainers versions with your exact build is unchecked. One secondary source says Spring Boot has no LTS line and about 12 months of free support per minor, so plan regular upgrades.</w:t>
      </w:r>
    </w:p>
    <w:p>
      <w:pPr>
        <w:pStyle w:val="Heading2"/>
      </w:pPr>
      <w:r>
        <w:t xml:space="preserve">9. Validation plan</w:t>
      </w:r>
    </w:p>
    <w:p>
      <w:pPr/>
      <w:r>
        <w:rPr>
          <w:b/>
        </w:rPr>
        <w:t xml:space="preserve">Interviews (8–12):</w:t>
      </w:r>
      <w:r>
        <w:t xml:space="preserve"> 3 owners or trustees, 3 principals or administrators, 2 accountants or fee clerks, 2 teachers. Cover at least two states, CBSE and a state board, single-campus and 2–5-branch schools, and users of Entab, Fedena, Teachmint or spreadsheets. Do not pitch features.</w:t>
      </w:r>
    </w:p>
    <w:p>
      <w:pPr/>
      <w:r>
        <w:rPr>
          <w:b/>
        </w:rPr>
        <w:t xml:space="preserve">Non-leading questions:</w:t>
      </w:r>
    </w:p>
    <w:p>
      <w:pPr>
        <w:pStyle w:val="ListParagraph"/>
        <w:numPr>
          <w:ilvl w:val="0"/>
          <w:numId w:val="5"/>
        </w:numPr>
      </w:pPr>
      <w:r>
        <w:t xml:space="preserve">Walk me through the last time a parent paid fees, from the first reminder to the receipt.</w:t>
      </w:r>
    </w:p>
    <w:p>
      <w:pPr>
        <w:pStyle w:val="ListParagraph"/>
        <w:numPr>
          <w:ilvl w:val="0"/>
          <w:numId w:val="5"/>
        </w:numPr>
      </w:pPr>
      <w:r>
        <w:t xml:space="preserve">Tell me about the last time attendance or a timetable went wrong. What happened next?</w:t>
      </w:r>
    </w:p>
    <w:p>
      <w:pPr>
        <w:pStyle w:val="ListParagraph"/>
        <w:numPr>
          <w:ilvl w:val="0"/>
          <w:numId w:val="5"/>
        </w:numPr>
      </w:pPr>
      <w:r>
        <w:t xml:space="preserve">What tool do you use for this today, and who chose it?</w:t>
      </w:r>
    </w:p>
    <w:p>
      <w:pPr>
        <w:pStyle w:val="ListParagraph"/>
        <w:numPr>
          <w:ilvl w:val="0"/>
          <w:numId w:val="5"/>
        </w:numPr>
      </w:pPr>
      <w:r>
        <w:t xml:space="preserve">What do you pay in total each year, including SMS, add-ons and support?</w:t>
      </w:r>
    </w:p>
    <w:p>
      <w:pPr>
        <w:pStyle w:val="ListParagraph"/>
        <w:numPr>
          <w:ilvl w:val="0"/>
          <w:numId w:val="5"/>
        </w:numPr>
      </w:pPr>
      <w:r>
        <w:t xml:space="preserve">What did you try before the current tool, and why did you stop?</w:t>
      </w:r>
    </w:p>
    <w:p>
      <w:pPr>
        <w:pStyle w:val="ListParagraph"/>
        <w:numPr>
          <w:ilvl w:val="0"/>
          <w:numId w:val="5"/>
        </w:numPr>
      </w:pPr>
      <w:r>
        <w:t xml:space="preserve">When did you last consider changing, and what stopped you?</w:t>
      </w:r>
    </w:p>
    <w:p>
      <w:pPr>
        <w:pStyle w:val="ListParagraph"/>
        <w:numPr>
          <w:ilvl w:val="0"/>
          <w:numId w:val="5"/>
        </w:numPr>
      </w:pPr>
      <w:r>
        <w:t xml:space="preserve">Who must agree before you buy anything, and what is the process?</w:t>
      </w:r>
    </w:p>
    <w:p>
      <w:pPr>
        <w:pStyle w:val="ListParagraph"/>
        <w:numPr>
          <w:ilvl w:val="0"/>
          <w:numId w:val="5"/>
        </w:numPr>
      </w:pPr>
      <w:r>
        <w:t xml:space="preserve">When in the year can you change systems?</w:t>
      </w:r>
    </w:p>
    <w:p>
      <w:pPr>
        <w:pStyle w:val="ListParagraph"/>
        <w:numPr>
          <w:ilvl w:val="0"/>
          <w:numId w:val="5"/>
        </w:numPr>
      </w:pPr>
      <w:r>
        <w:t xml:space="preserve">How was your data moved into the current system, and who did the work?</w:t>
      </w:r>
    </w:p>
    <w:p>
      <w:pPr>
        <w:pStyle w:val="ListParagraph"/>
        <w:numPr>
          <w:ilvl w:val="0"/>
          <w:numId w:val="5"/>
        </w:numPr>
      </w:pPr>
      <w:r>
        <w:t xml:space="preserve">How do parents hear from the school today, and what do they complain about?</w:t>
      </w:r>
    </w:p>
    <w:p>
      <w:pPr>
        <w:pStyle w:val="ListParagraph"/>
        <w:numPr>
          <w:ilvl w:val="0"/>
          <w:numId w:val="5"/>
        </w:numPr>
      </w:pPr>
      <w:r>
        <w:t xml:space="preserve">What does your accountant do with fee data afterwards?</w:t>
      </w:r>
    </w:p>
    <w:p>
      <w:pPr>
        <w:pStyle w:val="ListParagraph"/>
        <w:numPr>
          <w:ilvl w:val="0"/>
          <w:numId w:val="5"/>
        </w:numPr>
      </w:pPr>
      <w:r>
        <w:t xml:space="preserve">What do you do about student data privacy and consent today?</w:t>
      </w:r>
    </w:p>
    <w:p>
      <w:pPr>
        <w:pStyle w:val="ListParagraph"/>
        <w:numPr>
          <w:ilvl w:val="0"/>
          <w:numId w:val="5"/>
        </w:numPr>
      </w:pPr>
      <w:r>
        <w:t xml:space="preserve">Which tasks do teachers skip or do twice?</w:t>
      </w:r>
    </w:p>
    <w:p>
      <w:pPr>
        <w:pStyle w:val="ListParagraph"/>
        <w:numPr>
          <w:ilvl w:val="0"/>
          <w:numId w:val="5"/>
        </w:numPr>
      </w:pPr>
      <w:r>
        <w:t xml:space="preserve">If this stopped working tomorrow, what would break first?</w:t>
      </w:r>
    </w:p>
    <w:p>
      <w:pPr/>
      <w:r>
        <w:rPr>
          <w:b/>
        </w:rPr>
        <w:t xml:space="preserve">Proposed go/no-go thresholds (to be agreed before interviewing):</w:t>
      </w:r>
    </w:p>
    <w:p>
      <w:pPr>
        <w:pStyle w:val="ListParagraph"/>
        <w:numPr>
          <w:ilvl w:val="0"/>
          <w:numId w:val="6"/>
        </w:numPr>
      </w:pPr>
      <w:r>
        <w:t xml:space="preserve">Proceed if at least 6 of 10 describe an unprompted, costly problem in the same workflow within the last 3 months, and at least 3 will commit to a paid pilot or written intent with a start date.</w:t>
      </w:r>
    </w:p>
    <w:p>
      <w:pPr>
        <w:pStyle w:val="ListParagraph"/>
        <w:numPr>
          <w:ilvl w:val="0"/>
          <w:numId w:val="6"/>
        </w:numPr>
      </w:pPr>
      <w:r>
        <w:t xml:space="preserve">Re-think the segment or product if most schools are content with a free or cheap tool, or none will give pilot time.</w:t>
      </w:r>
    </w:p>
    <w:p>
      <w:pPr/>
      <w:r>
        <w:rPr>
          <w:b/>
        </w:rPr>
        <w:t xml:space="preserve">Pricing experiment:</w:t>
      </w:r>
      <w:r>
        <w:t xml:space="preserve"> ask each buyer for their current total spend and budget before showing any price; then show a flat per-school plan and a per-student plan with a minimum; finish with a small paid pilot. The cost floor needs a per-tenant infrastructure model first.</w:t>
      </w:r>
    </w:p>
    <w:p>
      <w:pPr>
        <w:pStyle w:val="Heading2"/>
      </w:pPr>
      <w:r>
        <w:t xml:space="preserve">10. Open questions that block the MVP</w:t>
      </w:r>
    </w:p>
    <w:p>
      <w:pPr>
        <w:pStyle w:val="ListParagraph"/>
        <w:numPr>
          <w:ilvl w:val="0"/>
          <w:numId w:val="7"/>
        </w:numPr>
      </w:pPr>
      <w:r>
        <w:t xml:space="preserve">Which workflow do schools pain over enough to switch: fees, attendance, migration, or compliance?</w:t>
      </w:r>
    </w:p>
    <w:p>
      <w:pPr>
        <w:pStyle w:val="ListParagraph"/>
        <w:numPr>
          <w:ilvl w:val="0"/>
          <w:numId w:val="7"/>
        </w:numPr>
      </w:pPr>
      <w:r>
        <w:t xml:space="preserve">What is the per-tenant monthly infrastructure cost, and therefore the minimum price?</w:t>
      </w:r>
    </w:p>
    <w:p>
      <w:pPr>
        <w:pStyle w:val="ListParagraph"/>
        <w:numPr>
          <w:ilvl w:val="0"/>
          <w:numId w:val="7"/>
        </w:numPr>
      </w:pPr>
      <w:r>
        <w:t xml:space="preserve">Who is the fiduciary, and which processing needs parental consent?</w:t>
      </w:r>
    </w:p>
    <w:p>
      <w:pPr>
        <w:pStyle w:val="ListParagraph"/>
        <w:numPr>
          <w:ilvl w:val="0"/>
          <w:numId w:val="7"/>
        </w:numPr>
      </w:pPr>
      <w:r>
        <w:t xml:space="preserve">Do multi-branch groups have a deeper unmet need than single schools?</w:t>
      </w:r>
    </w:p>
    <w:p>
      <w:pPr>
        <w:pStyle w:val="Heading2"/>
      </w:pPr>
      <w:r>
        <w:t xml:space="preserve">11. Sources (opened or surfaced 17 October 2026)</w:t>
      </w:r>
    </w:p>
    <w:p>
      <w:pPr>
        <w:pStyle w:val="ListParagraph"/>
        <w:numPr>
          <w:ilvl w:val="0"/>
          <w:numId w:val="8"/>
        </w:numPr>
      </w:pPr>
      <w:r>
        <w:t xml:space="preserve">Entab: </w:t>
      </w:r>
      <w:hyperlink r:id="rId3" w:history="1">
        <w:r>
          <w:rPr>
            <w:rStyle w:val="Hyperlink"/>
          </w:rPr>
          <w:t xml:space="preserve">management page</w:t>
        </w:r>
      </w:hyperlink>
      <w:r>
        <w:t xml:space="preserve">, </w:t>
      </w:r>
      <w:hyperlink r:id="rId4" w:history="1">
        <w:r>
          <w:rPr>
            <w:rStyle w:val="Hyperlink"/>
          </w:rPr>
          <w:t xml:space="preserve">fee module</w:t>
        </w:r>
      </w:hyperlink>
      <w:r>
        <w:t xml:space="preserve">, </w:t>
      </w:r>
      <w:hyperlink r:id="rId17" w:history="1">
        <w:r>
          <w:rPr>
            <w:rStyle w:val="Hyperlink"/>
          </w:rPr>
          <w:t xml:space="preserve">mobile app page</w:t>
        </w:r>
      </w:hyperlink>
      <w:r>
        <w:t xml:space="preserve">, </w:t>
      </w:r>
      <w:hyperlink r:id="rId18" w:history="1">
        <w:r>
          <w:rPr>
            <w:rStyle w:val="Hyperlink"/>
          </w:rPr>
          <w:t xml:space="preserve">SoftwareONE listing</w:t>
        </w:r>
      </w:hyperlink>
    </w:p>
    <w:p>
      <w:pPr>
        <w:pStyle w:val="ListParagraph"/>
        <w:numPr>
          <w:ilvl w:val="0"/>
          <w:numId w:val="8"/>
        </w:numPr>
      </w:pPr>
      <w:r>
        <w:t xml:space="preserve">Fedena: </w:t>
      </w:r>
      <w:hyperlink r:id="rId5" w:history="1">
        <w:r>
          <w:rPr>
            <w:rStyle w:val="Hyperlink"/>
          </w:rPr>
          <w:t xml:space="preserve">GetApp</w:t>
        </w:r>
      </w:hyperlink>
      <w:r>
        <w:t xml:space="preserve">, </w:t>
      </w:r>
      <w:hyperlink r:id="rId10" w:history="1">
        <w:r>
          <w:rPr>
            <w:rStyle w:val="Hyperlink"/>
          </w:rPr>
          <w:t xml:space="preserve">Fitgap</w:t>
        </w:r>
      </w:hyperlink>
      <w:r>
        <w:t xml:space="preserve">, </w:t>
      </w:r>
      <w:hyperlink r:id="rId19" w:history="1">
        <w:r>
          <w:rPr>
            <w:rStyle w:val="Hyperlink"/>
          </w:rPr>
          <w:t xml:space="preserve">Software Advice</w:t>
        </w:r>
      </w:hyperlink>
    </w:p>
    <w:p>
      <w:pPr>
        <w:pStyle w:val="ListParagraph"/>
        <w:numPr>
          <w:ilvl w:val="0"/>
          <w:numId w:val="8"/>
        </w:numPr>
      </w:pPr>
      <w:r>
        <w:t xml:space="preserve">Teachmint: </w:t>
      </w:r>
      <w:hyperlink r:id="rId6" w:history="1">
        <w:r>
          <w:rPr>
            <w:rStyle w:val="Hyperlink"/>
          </w:rPr>
          <w:t xml:space="preserve">Fitgap summary</w:t>
        </w:r>
      </w:hyperlink>
      <w:r>
        <w:t xml:space="preserve">, </w:t>
      </w:r>
      <w:hyperlink r:id="rId20" w:history="1">
        <w:r>
          <w:rPr>
            <w:rStyle w:val="Hyperlink"/>
          </w:rPr>
          <w:t xml:space="preserve">Techjockey Teachmint X</w:t>
        </w:r>
      </w:hyperlink>
      <w:r>
        <w:t xml:space="preserve">, </w:t>
      </w:r>
      <w:hyperlink r:id="rId21" w:history="1">
        <w:r>
          <w:rPr>
            <w:rStyle w:val="Hyperlink"/>
          </w:rPr>
          <w:t xml:space="preserve">G2 reviews</w:t>
        </w:r>
      </w:hyperlink>
    </w:p>
    <w:p>
      <w:pPr>
        <w:pStyle w:val="ListParagraph"/>
        <w:numPr>
          <w:ilvl w:val="0"/>
          <w:numId w:val="8"/>
        </w:numPr>
      </w:pPr>
      <w:r>
        <w:t xml:space="preserve">Other: </w:t>
      </w:r>
      <w:hyperlink r:id="rId7" w:history="1">
        <w:r>
          <w:rPr>
            <w:rStyle w:val="Hyperlink"/>
          </w:rPr>
          <w:t xml:space="preserve">Gartner VidyalayaERP</w:t>
        </w:r>
      </w:hyperlink>
      <w:r>
        <w:t xml:space="preserve">, </w:t>
      </w:r>
      <w:hyperlink r:id="rId22" w:history="1">
        <w:r>
          <w:rPr>
            <w:rStyle w:val="Hyperlink"/>
          </w:rPr>
          <w:t xml:space="preserve">SoftwareSuggest</w:t>
        </w:r>
      </w:hyperlink>
    </w:p>
    <w:p>
      <w:pPr>
        <w:pStyle w:val="ListParagraph"/>
        <w:numPr>
          <w:ilvl w:val="0"/>
          <w:numId w:val="8"/>
        </w:numPr>
      </w:pPr>
      <w:r>
        <w:t xml:space="preserve">Vendor and agency pages (low weight): </w:t>
      </w:r>
      <w:hyperlink r:id="rId8" w:history="1">
        <w:r>
          <w:rPr>
            <w:rStyle w:val="Hyperlink"/>
          </w:rPr>
          <w:t xml:space="preserve">Fuzen</w:t>
        </w:r>
      </w:hyperlink>
      <w:r>
        <w:t xml:space="preserve">, </w:t>
      </w:r>
      <w:hyperlink r:id="rId9" w:history="1">
        <w:r>
          <w:rPr>
            <w:rStyle w:val="Hyperlink"/>
          </w:rPr>
          <w:t xml:space="preserve">Codingclave</w:t>
        </w:r>
      </w:hyperlink>
      <w:r>
        <w:t xml:space="preserve">, </w:t>
      </w:r>
      <w:hyperlink r:id="rId11" w:history="1">
        <w:r>
          <w:rPr>
            <w:rStyle w:val="Hyperlink"/>
          </w:rPr>
          <w:t xml:space="preserve">Opta Tech</w:t>
        </w:r>
      </w:hyperlink>
      <w:r>
        <w:t xml:space="preserve">, </w:t>
      </w:r>
      <w:hyperlink r:id="rId13" w:history="1">
        <w:r>
          <w:rPr>
            <w:rStyle w:val="Hyperlink"/>
          </w:rPr>
          <w:t xml:space="preserve">Vedaloop</w:t>
        </w:r>
      </w:hyperlink>
      <w:r>
        <w:t xml:space="preserve">, </w:t>
      </w:r>
      <w:hyperlink r:id="rId14" w:history="1">
        <w:r>
          <w:rPr>
            <w:rStyle w:val="Hyperlink"/>
          </w:rPr>
          <w:t xml:space="preserve">FastFee</w:t>
        </w:r>
      </w:hyperlink>
      <w:r>
        <w:t xml:space="preserve">, </w:t>
      </w:r>
      <w:hyperlink r:id="rId12" w:history="1">
        <w:r>
          <w:rPr>
            <w:rStyle w:val="Hyperlink"/>
          </w:rPr>
          <w:t xml:space="preserve">AI EDU</w:t>
        </w:r>
      </w:hyperlink>
    </w:p>
    <w:p>
      <w:pPr>
        <w:pStyle w:val="ListParagraph"/>
        <w:numPr>
          <w:ilvl w:val="0"/>
          <w:numId w:val="8"/>
        </w:numPr>
      </w:pPr>
      <w:r>
        <w:t xml:space="preserve">Law: </w:t>
      </w:r>
      <w:hyperlink r:id="rId15" w:history="1">
        <w:r>
          <w:rPr>
            <w:rStyle w:val="Hyperlink"/>
          </w:rPr>
          <w:t xml:space="preserve">Gazette text G.S.R. 846(E)</w:t>
        </w:r>
      </w:hyperlink>
      <w:r>
        <w:t xml:space="preserve">, </w:t>
      </w:r>
      <w:hyperlink r:id="rId23" w:history="1">
        <w:r>
          <w:rPr>
            <w:rStyle w:val="Hyperlink"/>
          </w:rPr>
          <w:t xml:space="preserve">PwC note</w:t>
        </w:r>
      </w:hyperlink>
      <w:r>
        <w:t xml:space="preserve">, </w:t>
      </w:r>
      <w:hyperlink r:id="rId24" w:history="1">
        <w:r>
          <w:rPr>
            <w:rStyle w:val="Hyperlink"/>
          </w:rPr>
          <w:t xml:space="preserve">Mondaq/Sagus</w:t>
        </w:r>
      </w:hyperlink>
    </w:p>
    <w:p>
      <w:pPr>
        <w:pStyle w:val="ListParagraph"/>
        <w:numPr>
          <w:ilvl w:val="0"/>
          <w:numId w:val="8"/>
        </w:numPr>
      </w:pPr>
      <w:r>
        <w:t xml:space="preserve">Technology: </w:t>
      </w:r>
      <w:hyperlink r:id="rId16" w:history="1">
        <w:r>
          <w:rPr>
            <w:rStyle w:val="Hyperlink"/>
          </w:rPr>
          <w:t xml:space="preserve">Spring Boot 4.1 system requirements</w:t>
        </w:r>
      </w:hyperlink>
      <w:r>
        <w:t xml:space="preserve">, </w:t>
      </w:r>
      <w:hyperlink r:id="rId25" w:history="1">
        <w:r>
          <w:rPr>
            <w:rStyle w:val="Hyperlink"/>
          </w:rPr>
          <w:t xml:space="preserve">Spring Boot 3.5 requirements page</w:t>
        </w:r>
      </w:hyperlink>
    </w:p>
    <w:p>
      <w:pPr>
        <w:pStyle w:val="ListParagraph"/>
        <w:numPr>
          <w:ilvl w:val="0"/>
          <w:numId w:val="8"/>
        </w:numPr>
      </w:pPr>
      <w:r>
        <w:t xml:space="preserve">Market: </w:t>
      </w:r>
      <w:hyperlink r:id="rId26" w:history="1">
        <w:r>
          <w:rPr>
            <w:rStyle w:val="Hyperlink"/>
          </w:rPr>
          <w:t xml:space="preserve">UDISE+ 2024-25 analysis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ntab.in/entab-blog-management.html" TargetMode="External"/><Relationship Id="rId4" Type="http://schemas.openxmlformats.org/officeDocument/2006/relationships/hyperlink" Target="https://www.entab.in/entab-blog-fee-bill.html" TargetMode="External"/><Relationship Id="rId5" Type="http://schemas.openxmlformats.org/officeDocument/2006/relationships/hyperlink" Target="https://www.getapp.co.uk/software/106557/fedena-pro" TargetMode="External"/><Relationship Id="rId6" Type="http://schemas.openxmlformats.org/officeDocument/2006/relationships/hyperlink" Target="https://us.fitgap.com/products/021746/teachmint" TargetMode="External"/><Relationship Id="rId7" Type="http://schemas.openxmlformats.org/officeDocument/2006/relationships/hyperlink" Target="https://www.gartner.com/reviews/product/vidyalayaerp-2012477310" TargetMode="External"/><Relationship Id="rId8" Type="http://schemas.openxmlformats.org/officeDocument/2006/relationships/hyperlink" Target="https://www.fuzen.io/posts/school-management-software-comparison-fuzen-vs-entab-fedena-teachmint" TargetMode="External"/><Relationship Id="rId9" Type="http://schemas.openxmlformats.org/officeDocument/2006/relationships/hyperlink" Target="https://codingclave.com/blog/best-school-management-software-india-2026" TargetMode="External"/><Relationship Id="rId10" Type="http://schemas.openxmlformats.org/officeDocument/2006/relationships/hyperlink" Target="https://us.fitgap.com/products/022107/fedena" TargetMode="External"/><Relationship Id="rId11" Type="http://schemas.openxmlformats.org/officeDocument/2006/relationships/hyperlink" Target="https://www.optatechinnovation.com/blog/school-erp-software-india" TargetMode="External"/><Relationship Id="rId12" Type="http://schemas.openxmlformats.org/officeDocument/2006/relationships/hyperlink" Target="https://aieduerp.com/school-erp-software/price-and-plans/" TargetMode="External"/><Relationship Id="rId13" Type="http://schemas.openxmlformats.org/officeDocument/2006/relationships/hyperlink" Target="https://www.vedaloop.in/blog/best-school-erp-software-india-buyers-guide" TargetMode="External"/><Relationship Id="rId14" Type="http://schemas.openxmlformats.org/officeDocument/2006/relationships/hyperlink" Target="https://fastfee.in/blog/top-school-fee-management-software-india-2026" TargetMode="External"/><Relationship Id="rId15" Type="http://schemas.openxmlformats.org/officeDocument/2006/relationships/hyperlink" Target="https://www.dpdpa.com/DPDP_Rules_2025_English_only.pdf" TargetMode="External"/><Relationship Id="rId16" Type="http://schemas.openxmlformats.org/officeDocument/2006/relationships/hyperlink" Target="https://docs.spring.io/spring-boot/4.1/system-requirements.html" TargetMode="External"/><Relationship Id="rId17" Type="http://schemas.openxmlformats.org/officeDocument/2006/relationships/hyperlink" Target="https://entab.in/mobile-application.html" TargetMode="External"/><Relationship Id="rId18" Type="http://schemas.openxmlformats.org/officeDocument/2006/relationships/hyperlink" Target="https://platform.softwareone.com/product/fee-billing-management-software/PCP-2780-6789" TargetMode="External"/><Relationship Id="rId19" Type="http://schemas.openxmlformats.org/officeDocument/2006/relationships/hyperlink" Target="https://www.softwareadvice.com/school-management/fedena-profile/" TargetMode="External"/><Relationship Id="rId20" Type="http://schemas.openxmlformats.org/officeDocument/2006/relationships/hyperlink" Target="https://www.techjockey.com/detail/teachmint-x" TargetMode="External"/><Relationship Id="rId21" Type="http://schemas.openxmlformats.org/officeDocument/2006/relationships/hyperlink" Target="https://g2.com/products/teachmint-g2/reviews" TargetMode="External"/><Relationship Id="rId22" Type="http://schemas.openxmlformats.org/officeDocument/2006/relationships/hyperlink" Target="https://www.softwaresuggest.com/school-erp-software" TargetMode="External"/><Relationship Id="rId23" Type="http://schemas.openxmlformats.org/officeDocument/2006/relationships/hyperlink" Target="https://www.pwc.in/research-insights/news_alert/regulatory-insights/meity-notifies-digital-personal-data-protection-rules-2025.html" TargetMode="External"/><Relationship Id="rId24" Type="http://schemas.openxmlformats.org/officeDocument/2006/relationships/hyperlink" Target="https://www.mondaq.com/india/privacy-protection/1715184/meity-notifies-dpdp-rules-enforcement-timelines-and-formation-of-the-board" TargetMode="External"/><Relationship Id="rId25" Type="http://schemas.openxmlformats.org/officeDocument/2006/relationships/hyperlink" Target="https://docs.spring.io/spring-boot/3.5/system-requirements.html" TargetMode="External"/><Relationship Id="rId26" Type="http://schemas.openxmlformats.org/officeDocument/2006/relationships/hyperlink" Target="https://educationforallinindia.com/analysing-distribution-of-udiseplus-2024-25-schools-enrolment-teachers-towards-nep-2020-goal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Vidya Market Validation Report</dc:title>
  <dc:description>Claude Docs node/9b4aced7-c123@1 docx-w7</dc:description>
  <cp:revision>1</cp:revision>
</cp:coreProperties>
</file>