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Vidya — Product Requirements Document (v0.2, validation-first draft)</w:t>
      </w:r>
    </w:p>
    <w:p>
      <w:pPr/>
      <w:r>
        <w:rPr>
          <w:i/>
        </w:rPr>
        <w:t xml:space="preserve">Research date: 17 October 2026. Status: DRAFT for founder and engineering review. Scope of this version: sections 1–13 and 18–28 in condensed form, with a prioritized requirements set. Full per-module requirement tables, appendices and a verified competitor matrix are listed as follow-ups in Section 27.</w:t>
      </w:r>
    </w:p>
    <w:p>
      <w:pPr>
        <w:pStyle w:val="Heading2"/>
      </w:pPr>
      <w:r>
        <w:t xml:space="preserve">Change log: v0.1 to v0.2</w:t>
      </w:r>
    </w:p>
    <w:p>
      <w:pPr/>
      <w:r>
        <w:rPr>
          <w:b/>
        </w:rPr>
        <w:t xml:space="preserve">v0.2 narrows this PRD from a feature list to a validation plan.</w:t>
      </w:r>
      <w:r>
        <w:t xml:space="preserve"> Every priority below is conditional on customer interviews that have not happened yet. Evidence and sources are in the </w:t>
      </w:r>
      <w:hyperlink r:id="rId3" w:history="1">
        <w:r>
          <w:rPr>
            <w:rStyle w:val="Hyperlink"/>
          </w:rPr>
          <w:t xml:space="preserve">Market Validation Report</w:t>
        </w:r>
      </w:hyperlink>
      <w:r>
        <w:t xml:space="preserve">.</w:t>
      </w:r>
    </w:p>
    <w:p>
      <w:pPr>
        <w:pStyle w:val="ListParagraph"/>
        <w:numPr>
          <w:ilvl w:val="0"/>
          <w:numId w:val="2"/>
        </w:numPr>
      </w:pPr>
      <w:r>
        <w:rPr>
          <w:b/>
        </w:rPr>
        <w:t xml:space="preserve">Competitors:</w:t>
      </w:r>
      <w:r>
        <w:t xml:space="preserve"> Entab, Fedena and Teachmint checked more deeply; MyClassboard, MyClassCampus, Edunext and Schoollog remain Unverified. Entab customer counts and prices are Conflicting, not resolved.</w:t>
      </w:r>
    </w:p>
    <w:p>
      <w:pPr>
        <w:pStyle w:val="ListParagraph"/>
        <w:numPr>
          <w:ilvl w:val="0"/>
          <w:numId w:val="2"/>
        </w:numPr>
      </w:pPr>
      <w:r>
        <w:rPr>
          <w:b/>
        </w:rPr>
        <w:t xml:space="preserve">Corrected, DPDP:</w:t>
      </w:r>
      <w:r>
        <w:t xml:space="preserve"> v0.1 relied on secondary sources. The Gazette text (G.S.R. 846(E)) puts most duties, including children's-data rules, eighteen months after publication, about 13 May 2027 (date to confirm). The 72-hour breach duty is now verified (Rule 7). The educational-institution exemption is narrower than v0.1 implied: it covers only tracking and behavioural monitoring for educational activities or safety (Rule 12, Fourth Schedule).</w:t>
      </w:r>
    </w:p>
    <w:p>
      <w:pPr>
        <w:pStyle w:val="ListParagraph"/>
        <w:numPr>
          <w:ilvl w:val="0"/>
          <w:numId w:val="2"/>
        </w:numPr>
      </w:pPr>
      <w:r>
        <w:rPr>
          <w:b/>
        </w:rPr>
        <w:t xml:space="preserve">Corrected, stack:</w:t>
      </w:r>
      <w:r>
        <w:t xml:space="preserve"> the official Spring Boot 4.1 page says it is compatible up to Java 25. Library-level compatibility and the repository itself remain unchecked.</w:t>
      </w:r>
    </w:p>
    <w:p>
      <w:pPr>
        <w:pStyle w:val="ListParagraph"/>
        <w:numPr>
          <w:ilvl w:val="0"/>
          <w:numId w:val="2"/>
        </w:numPr>
      </w:pPr>
      <w:r>
        <w:rPr>
          <w:b/>
        </w:rPr>
        <w:t xml:space="preserve">Downgraded:</w:t>
      </w:r>
      <w:r>
        <w:t xml:space="preserve"> v0.1 statements about Teachmint's ERP depth came from a competitor-written page and now carry low weight.</w:t>
      </w:r>
    </w:p>
    <w:p>
      <w:pPr>
        <w:pStyle w:val="ListParagraph"/>
        <w:numPr>
          <w:ilvl w:val="0"/>
          <w:numId w:val="2"/>
        </w:numPr>
      </w:pPr>
      <w:r>
        <w:rPr>
          <w:b/>
        </w:rPr>
        <w:t xml:space="preserve">Reprioritised:</w:t>
      </w:r>
      <w:r>
        <w:t xml:space="preserve"> see Sections 29 to 34. The P0 and P1 requirement tables in Section 14 are provisional until the Phase 0 gate.</w:t>
      </w:r>
    </w:p>
    <w:p>
      <w:pPr/>
      <w:r>
        <w:t xml:space="preserve">Where Sections 29 to 34 contradict earlier text, they govern; earlier sections will be reconciled in v0.3.</w:t>
      </w:r>
    </w:p>
    <w:p>
      <w:pPr>
        <w:pStyle w:val="Heading2"/>
      </w:pPr>
      <w:r>
        <w:t xml:space="preserve">1. Document metadata and evidence caveat</w:t>
      </w:r>
    </w:p>
    <w:p>
      <w:pPr>
        <w:pStyle w:val="ListParagraph"/>
        <w:numPr>
          <w:ilvl w:val="0"/>
          <w:numId w:val="3"/>
        </w:numPr>
      </w:pPr>
      <w:r>
        <w:t xml:space="preserve">Owner: Founder / product. Audience: founders, engineering, design, QA, sales.</w:t>
      </w:r>
    </w:p>
    <w:p>
      <w:pPr>
        <w:pStyle w:val="ListParagraph"/>
        <w:numPr>
          <w:ilvl w:val="0"/>
          <w:numId w:val="3"/>
        </w:numPr>
      </w:pPr>
      <w:r>
        <w:t xml:space="preserve">Evidence base: about five targeted web searches (market size, DPDP rules, competitor pricing, UDISE+ statistics) plus the architecture you supplied. </w:t>
      </w:r>
      <w:r>
        <w:rPr>
          <w:b/>
        </w:rPr>
        <w:t xml:space="preserve">This is not exhaustive research.</w:t>
      </w:r>
      <w:r>
        <w:t xml:space="preserve"> No customer interviews, Reddit/community complaint mining, or official competitor documentation review has been done yet; those claims are marked </w:t>
      </w:r>
      <w:r>
        <w:rPr>
          <w:i/>
        </w:rPr>
        <w:t xml:space="preserve">unverified</w:t>
      </w:r>
      <w:r>
        <w:t xml:space="preserve"> or </w:t>
      </w:r>
      <w:r>
        <w:rPr>
          <w:i/>
        </w:rPr>
        <w:t xml:space="preserve">hypothesis</w:t>
      </w:r>
      <w:r>
        <w:t xml:space="preserve">.</w:t>
      </w:r>
    </w:p>
    <w:p>
      <w:pPr>
        <w:pStyle w:val="ListParagraph"/>
        <w:numPr>
          <w:ilvl w:val="0"/>
          <w:numId w:val="3"/>
        </w:numPr>
      </w:pPr>
      <w:r>
        <w:t xml:space="preserve">Source quality: most Indian school-ERP comparison content is written by vendors (Entab-style blogs, Fuzen, Devryon, Class ON, Decentro, Codingclave). These contradict each other (see 7) and are treated as low-confidence.</w:t>
      </w:r>
    </w:p>
    <w:p>
      <w:pPr>
        <w:pStyle w:val="Heading2"/>
      </w:pPr>
      <w:r>
        <w:t xml:space="preserve">2. Executive summary</w:t>
      </w:r>
    </w:p>
    <w:p>
      <w:pPr/>
      <w:r>
        <w:t xml:space="preserve">Vidya should not launch as an all-in-one school ERP competing on feature count; the field has 20+ vendors and every comparison page claims completeness. The defensible opening is a </w:t>
      </w:r>
      <w:r>
        <w:rPr>
          <w:b/>
        </w:rPr>
        <w:t xml:space="preserve">reliable, fast-to-onboard core for small and mid-sized private K–12 schools (roughly 300–1,500 students) in CBSE/state-board settings</w:t>
      </w:r>
      <w:r>
        <w:t xml:space="preserve">, with transparent pricing, correct attendance and timetable behavior, and a privacy-by-design parent portal ready for India's DPDP obligations (children's-data rules apply from 14 May 2027, per secondary sources).</w:t>
      </w:r>
    </w:p>
    <w:p>
      <w:pPr/>
      <w:r>
        <w:t xml:space="preserve">The existing tenant domain (attendance, timetable, substitutions, calendar) is a genuine head start. The biggest commercial gaps in the current baseline are </w:t>
      </w:r>
      <w:r>
        <w:rPr>
          <w:b/>
        </w:rPr>
        <w:t xml:space="preserve">fees, parent/student portals, notifications, exams/report cards and data import</w:t>
      </w:r>
      <w:r>
        <w:t xml:space="preserve">. Those, not more timetable sophistication, decide whether a school can run day-to-day on Vidya.</w:t>
      </w:r>
    </w:p>
    <w:p>
      <w:pPr>
        <w:pStyle w:val="Heading2"/>
      </w:pPr>
      <w:r>
        <w:t xml:space="preserve">3. Product overview and vision</w:t>
      </w:r>
    </w:p>
    <w:p>
      <w:pPr>
        <w:pStyle w:val="ListParagraph"/>
        <w:numPr>
          <w:ilvl w:val="0"/>
          <w:numId w:val="4"/>
        </w:numPr>
      </w:pPr>
      <w:r>
        <w:rPr>
          <w:b/>
        </w:rPr>
        <w:t xml:space="preserve">Vision:</w:t>
      </w:r>
      <w:r>
        <w:t xml:space="preserve"> schools run daily operations on one dependable system that staff and families actually use.</w:t>
      </w:r>
    </w:p>
    <w:p>
      <w:pPr>
        <w:pStyle w:val="ListParagraph"/>
        <w:numPr>
          <w:ilvl w:val="0"/>
          <w:numId w:val="4"/>
        </w:numPr>
      </w:pPr>
      <w:r>
        <w:rPr>
          <w:b/>
        </w:rPr>
        <w:t xml:space="preserve">Customer promise (hypothesis):</w:t>
      </w:r>
      <w:r>
        <w:t xml:space="preserve"> a school can be live, with real student data imported and attendance running, within days, at a price known up front.</w:t>
      </w:r>
    </w:p>
    <w:p>
      <w:pPr>
        <w:pStyle w:val="ListParagraph"/>
        <w:numPr>
          <w:ilvl w:val="0"/>
          <w:numId w:val="4"/>
        </w:numPr>
      </w:pPr>
      <w:r>
        <w:rPr>
          <w:b/>
        </w:rPr>
        <w:t xml:space="preserve">Principles:</w:t>
      </w:r>
      <w:r>
        <w:t xml:space="preserve"> reliability before breadth; correctness of money and attendance records; privacy of children's data by default; no hidden add-on pricing; data exportable at any time; incremental evolution of the existing modular monolith.</w:t>
      </w:r>
    </w:p>
    <w:p>
      <w:pPr>
        <w:pStyle w:val="ListParagraph"/>
        <w:numPr>
          <w:ilvl w:val="0"/>
          <w:numId w:val="4"/>
        </w:numPr>
      </w:pPr>
      <w:r>
        <w:rPr>
          <w:b/>
        </w:rPr>
        <w:t xml:space="preserve">Avoid claiming</w:t>
      </w:r>
      <w:r>
        <w:t xml:space="preserve"> "best school ERP", "all-in-one" or "AI-powered" without a demonstrable benefit.</w:t>
      </w:r>
    </w:p>
    <w:p>
      <w:pPr>
        <w:pStyle w:val="Heading2"/>
      </w:pPr>
      <w:r>
        <w:t xml:space="preserve">4. Existing system baseline and constraints</w:t>
      </w:r>
    </w:p>
    <w:p>
      <w:pPr/>
      <w:r>
        <w:t xml:space="preserve">Taken as supplied, </w:t>
      </w:r>
      <w:r>
        <w:rPr>
          <w:b/>
        </w:rPr>
        <w:t xml:space="preserve">not independently verified against the repository</w:t>
      </w:r>
      <w:r>
        <w:t xml:space="preserve">: Java 25, Spring Boot 4.1.1, modular monolith (</w:t>
      </w:r>
      <w:r>
        <w:rPr>
          <w:rStyle w:val="CodeChar"/>
        </w:rPr>
        <w:t xml:space="preserve">com.vidya</w:t>
      </w:r>
      <w:r>
        <w:t xml:space="preserve">), master DB plus one PostgreSQL database per school, </w:t>
      </w:r>
      <w:r>
        <w:rPr>
          <w:rStyle w:val="CodeChar"/>
        </w:rPr>
        <w:t xml:space="preserve">TenantRoutingDataSource</w:t>
      </w:r>
      <w:r>
        <w:t xml:space="preserve">/</w:t>
      </w:r>
      <w:r>
        <w:rPr>
          <w:rStyle w:val="CodeChar"/>
        </w:rPr>
        <w:t xml:space="preserve">TenantContext</w:t>
      </w:r>
      <w:r>
        <w:t xml:space="preserve">, separate master and tenant transaction managers, Flyway (master V20, tenant V16), Redis sessions, stateless JWT (15-min access, 7-day refresh), Testcontainers on PostgreSQL 16.</w:t>
      </w:r>
    </w:p>
    <w:p>
      <w:pPr/>
      <w:r>
        <w:rPr>
          <w:b/>
        </w:rPr>
        <w:t xml:space="preserve">Open verification items (not done in this draft):</w:t>
      </w:r>
      <w:r>
        <w:t xml:space="preserve"> confirm Java 25 and Spring Boot 4.1.1 compatibility with every dependency (Spring Session, Lettuce, Hibernate, Flyway, Testcontainers), and confirm Java 25 LTS/support posture before production commitments.</w:t>
      </w:r>
    </w:p>
    <w:p>
      <w:pPr>
        <w:pStyle w:val="Heading3"/>
      </w:pPr>
      <w:r>
        <w:t xml:space="preserve">4.1 Known limitations: classification and priority</w:t>
      </w:r>
    </w:p>
    <w:tbl>
      <w:tblPr>
        <w:tblStyle w:val="TableGrid"/>
        <w:tblW w:w="0" w:type="auto"/>
        <w:tblLayout w:type="fixed"/>
        <w:tblLook w:val="04A0" w:firstRow="1" w:lastRow="0" w:firstColumn="0" w:lastColumn="0" w:noHBand="0" w:noVBand="1"/>
      </w:tblPr>
      <w:tblGrid>
        <w:gridCol w:w="720"/>
        <w:gridCol w:w="2705"/>
        <w:gridCol w:w="1583"/>
        <w:gridCol w:w="2615"/>
        <w:gridCol w:w="1737"/>
      </w:tblGrid>
      <w:tr>
        <w:trPr>
          <w:tblHeader/>
        </w:trPr>
        <w:tc>
          <w:tcPr>
            <w:tcW w:w="720" w:type="dxa"/>
            <w:shd w:val="clear" w:color="auto" w:fill="F2F2F2"/>
          </w:tcPr>
          <w:p>
            <w:pPr/>
            <w:r>
              <w:t xml:space="preserve">#</w:t>
            </w:r>
          </w:p>
        </w:tc>
        <w:tc>
          <w:tcPr>
            <w:tcW w:w="2705" w:type="dxa"/>
            <w:shd w:val="clear" w:color="auto" w:fill="F2F2F2"/>
          </w:tcPr>
          <w:p>
            <w:pPr/>
            <w:r>
              <w:t xml:space="preserve">Limitation</w:t>
            </w:r>
          </w:p>
        </w:tc>
        <w:tc>
          <w:tcPr>
            <w:tcW w:w="1583" w:type="dxa"/>
            <w:shd w:val="clear" w:color="auto" w:fill="F2F2F2"/>
          </w:tcPr>
          <w:p>
            <w:pPr/>
            <w:r>
              <w:t xml:space="preserve">Class</w:t>
            </w:r>
          </w:p>
        </w:tc>
        <w:tc>
          <w:tcPr>
            <w:tcW w:w="2615" w:type="dxa"/>
            <w:shd w:val="clear" w:color="auto" w:fill="F2F2F2"/>
          </w:tcPr>
          <w:p>
            <w:pPr/>
            <w:r>
              <w:t xml:space="preserve">Customer impact</w:t>
            </w:r>
          </w:p>
        </w:tc>
        <w:tc>
          <w:tcPr>
            <w:tcW w:w="1737" w:type="dxa"/>
            <w:shd w:val="clear" w:color="auto" w:fill="F2F2F2"/>
          </w:tcPr>
          <w:p>
            <w:pPr/>
            <w:r>
              <w:t xml:space="preserve">Priority</w:t>
            </w:r>
          </w:p>
        </w:tc>
      </w:tr>
      <w:tr>
        <w:tc>
          <w:tcPr>
            <w:tcW w:w="720" w:type="dxa"/>
          </w:tcPr>
          <w:p>
            <w:pPr/>
            <w:r>
              <w:t xml:space="preserve">1</w:t>
            </w:r>
          </w:p>
        </w:tc>
        <w:tc>
          <w:tcPr>
            <w:tcW w:w="2705" w:type="dxa"/>
          </w:tcPr>
          <w:p>
            <w:pPr/>
            <w:r>
              <w:t xml:space="preserve">One subject/teacher/room per section slot; no electives or split batches</w:t>
            </w:r>
          </w:p>
        </w:tc>
        <w:tc>
          <w:tcPr>
            <w:tcW w:w="1583" w:type="dxa"/>
          </w:tcPr>
          <w:p>
            <w:pPr/>
            <w:r>
              <w:t xml:space="preserve">Confirmed product gap</w:t>
            </w:r>
          </w:p>
        </w:tc>
        <w:tc>
          <w:tcPr>
            <w:tcW w:w="2615" w:type="dxa"/>
          </w:tcPr>
          <w:p>
            <w:pPr/>
            <w:r>
              <w:t xml:space="preserve">Blocks senior-secondary schools with electives and any language-group split</w:t>
            </w:r>
          </w:p>
        </w:tc>
        <w:tc>
          <w:tcPr>
            <w:tcW w:w="1737" w:type="dxa"/>
          </w:tcPr>
          <w:p>
            <w:pPr/>
            <w:r>
              <w:t xml:space="preserve">P1 (P0 if the beachhead includes classes 11–12)</w:t>
            </w:r>
          </w:p>
        </w:tc>
      </w:tr>
      <w:tr>
        <w:tc>
          <w:tcPr>
            <w:tcW w:w="720" w:type="dxa"/>
          </w:tcPr>
          <w:p>
            <w:pPr/>
            <w:r>
              <w:t xml:space="preserve">2</w:t>
            </w:r>
          </w:p>
        </w:tc>
        <w:tc>
          <w:tcPr>
            <w:tcW w:w="2705" w:type="dxa"/>
          </w:tcPr>
          <w:p>
            <w:pPr/>
            <w:r>
              <w:t xml:space="preserve">Bulk timetable replace regenerates slot IDs</w:t>
            </w:r>
          </w:p>
        </w:tc>
        <w:tc>
          <w:tcPr>
            <w:tcW w:w="1583" w:type="dxa"/>
          </w:tcPr>
          <w:p>
            <w:pPr/>
            <w:r>
              <w:t xml:space="preserve">Technical constraint</w:t>
            </w:r>
          </w:p>
        </w:tc>
        <w:tc>
          <w:tcPr>
            <w:tcW w:w="2615" w:type="dxa"/>
          </w:tcPr>
          <w:p>
            <w:pPr/>
            <w:r>
              <w:t xml:space="preserve">Breaks any future reference to slots (substitutions, homework, notifications)</w:t>
            </w:r>
          </w:p>
        </w:tc>
        <w:tc>
          <w:tcPr>
            <w:tcW w:w="1737" w:type="dxa"/>
          </w:tcPr>
          <w:p>
            <w:pPr/>
            <w:r>
              <w:t xml:space="preserve">P1, fix before building features that reference slots</w:t>
            </w:r>
          </w:p>
        </w:tc>
      </w:tr>
      <w:tr>
        <w:tc>
          <w:tcPr>
            <w:tcW w:w="720" w:type="dxa"/>
          </w:tcPr>
          <w:p>
            <w:pPr/>
            <w:r>
              <w:t xml:space="preserve">3</w:t>
            </w:r>
          </w:p>
        </w:tc>
        <w:tc>
          <w:tcPr>
            <w:tcW w:w="2705" w:type="dxa"/>
          </w:tcPr>
          <w:p>
            <w:pPr/>
            <w:r>
              <w:t xml:space="preserve">Holiday-aware timetable views incomplete</w:t>
            </w:r>
          </w:p>
        </w:tc>
        <w:tc>
          <w:tcPr>
            <w:tcW w:w="1583" w:type="dxa"/>
          </w:tcPr>
          <w:p>
            <w:pPr/>
            <w:r>
              <w:t xml:space="preserve">Confirmed product gap</w:t>
            </w:r>
          </w:p>
        </w:tc>
        <w:tc>
          <w:tcPr>
            <w:tcW w:w="2615" w:type="dxa"/>
          </w:tcPr>
          <w:p>
            <w:pPr/>
            <w:r>
              <w:t xml:space="preserve">Teachers see classes on holidays; erodes trust</w:t>
            </w:r>
          </w:p>
        </w:tc>
        <w:tc>
          <w:tcPr>
            <w:tcW w:w="1737" w:type="dxa"/>
          </w:tcPr>
          <w:p>
            <w:pPr/>
            <w:r>
              <w:t xml:space="preserve">P1</w:t>
            </w:r>
          </w:p>
        </w:tc>
      </w:tr>
      <w:tr>
        <w:tc>
          <w:tcPr>
            <w:tcW w:w="720" w:type="dxa"/>
          </w:tcPr>
          <w:p>
            <w:pPr/>
            <w:r>
              <w:t xml:space="preserve">4</w:t>
            </w:r>
          </w:p>
        </w:tc>
        <w:tc>
          <w:tcPr>
            <w:tcW w:w="2705" w:type="dxa"/>
          </w:tcPr>
          <w:p>
            <w:pPr/>
            <w:r>
              <w:t xml:space="preserve">Substitutions use natural-key slot reference, not FK</w:t>
            </w:r>
          </w:p>
        </w:tc>
        <w:tc>
          <w:tcPr>
            <w:tcW w:w="1583" w:type="dxa"/>
          </w:tcPr>
          <w:p>
            <w:pPr/>
            <w:r>
              <w:t xml:space="preserve">Technical constraint / risk</w:t>
            </w:r>
          </w:p>
        </w:tc>
        <w:tc>
          <w:tcPr>
            <w:tcW w:w="2615" w:type="dxa"/>
          </w:tcPr>
          <w:p>
            <w:pPr/>
            <w:r>
              <w:t xml:space="preserve">Orphaned or wrong substitutions after timetable edits</w:t>
            </w:r>
          </w:p>
        </w:tc>
        <w:tc>
          <w:tcPr>
            <w:tcW w:w="1737" w:type="dxa"/>
          </w:tcPr>
          <w:p>
            <w:pPr/>
            <w:r>
              <w:t xml:space="preserve">P1, tied to #2</w:t>
            </w:r>
          </w:p>
        </w:tc>
      </w:tr>
      <w:tr>
        <w:tc>
          <w:tcPr>
            <w:tcW w:w="720" w:type="dxa"/>
          </w:tcPr>
          <w:p>
            <w:pPr/>
            <w:r>
              <w:t xml:space="preserve">5</w:t>
            </w:r>
          </w:p>
        </w:tc>
        <w:tc>
          <w:tcPr>
            <w:tcW w:w="2705" w:type="dxa"/>
          </w:tcPr>
          <w:p>
            <w:pPr/>
            <w:r>
              <w:t xml:space="preserve">Student/parent portals denied by tenant authorization</w:t>
            </w:r>
          </w:p>
        </w:tc>
        <w:tc>
          <w:tcPr>
            <w:tcW w:w="1583" w:type="dxa"/>
          </w:tcPr>
          <w:p>
            <w:pPr/>
            <w:r>
              <w:t xml:space="preserve">Confirmed product gap</w:t>
            </w:r>
          </w:p>
        </w:tc>
        <w:tc>
          <w:tcPr>
            <w:tcW w:w="2615" w:type="dxa"/>
          </w:tcPr>
          <w:p>
            <w:pPr/>
            <w:r>
              <w:t xml:space="preserve">No family-facing value, no parent notifications</w:t>
            </w:r>
          </w:p>
        </w:tc>
        <w:tc>
          <w:tcPr>
            <w:tcW w:w="1737" w:type="dxa"/>
          </w:tcPr>
          <w:p>
            <w:pPr/>
            <w:r>
              <w:t xml:space="preserve">P0 for Phase 2</w:t>
            </w:r>
          </w:p>
        </w:tc>
      </w:tr>
      <w:tr>
        <w:tc>
          <w:tcPr>
            <w:tcW w:w="720" w:type="dxa"/>
          </w:tcPr>
          <w:p>
            <w:pPr/>
            <w:r>
              <w:t xml:space="preserve">6</w:t>
            </w:r>
          </w:p>
        </w:tc>
        <w:tc>
          <w:tcPr>
            <w:tcW w:w="2705" w:type="dxa"/>
          </w:tcPr>
          <w:p>
            <w:pPr/>
            <w:r>
              <w:t xml:space="preserve">Non-working-day attendance override needs role plus non-blank reason</w:t>
            </w:r>
          </w:p>
        </w:tc>
        <w:tc>
          <w:tcPr>
            <w:tcW w:w="1583" w:type="dxa"/>
          </w:tcPr>
          <w:p>
            <w:pPr/>
            <w:r>
              <w:t xml:space="preserve">Existing control, keep</w:t>
            </w:r>
          </w:p>
        </w:tc>
        <w:tc>
          <w:tcPr>
            <w:tcW w:w="2615" w:type="dxa"/>
          </w:tcPr>
          <w:p>
            <w:pPr/>
            <w:r>
              <w:t xml:space="preserve">Protects audit integrity</w:t>
            </w:r>
          </w:p>
        </w:tc>
        <w:tc>
          <w:tcPr>
            <w:tcW w:w="1737" w:type="dxa"/>
          </w:tcPr>
          <w:p>
            <w:pPr/>
            <w:r>
              <w:t xml:space="preserve">Keep; add reason-quality reporting later (P3)</w:t>
            </w:r>
          </w:p>
        </w:tc>
      </w:tr>
      <w:tr>
        <w:tc>
          <w:tcPr>
            <w:tcW w:w="720" w:type="dxa"/>
          </w:tcPr>
          <w:p>
            <w:pPr/>
            <w:r>
              <w:t xml:space="preserve">7</w:t>
            </w:r>
          </w:p>
        </w:tc>
        <w:tc>
          <w:tcPr>
            <w:tcW w:w="2705" w:type="dxa"/>
          </w:tcPr>
          <w:p>
            <w:pPr/>
            <w:r>
              <w:t xml:space="preserve">Fifth-Saturday working pattern</w:t>
            </w:r>
          </w:p>
        </w:tc>
        <w:tc>
          <w:tcPr>
            <w:tcW w:w="1583" w:type="dxa"/>
          </w:tcPr>
          <w:p>
            <w:pPr/>
            <w:r>
              <w:t xml:space="preserve">Risk requiring investigation</w:t>
            </w:r>
          </w:p>
        </w:tc>
        <w:tc>
          <w:tcPr>
            <w:tcW w:w="2615" w:type="dxa"/>
          </w:tcPr>
          <w:p>
            <w:pPr/>
            <w:r>
              <w:t xml:space="preserve">Wrong attendance validation on 5th Saturdays</w:t>
            </w:r>
          </w:p>
        </w:tc>
        <w:tc>
          <w:tcPr>
            <w:tcW w:w="1737" w:type="dxa"/>
          </w:tcPr>
          <w:p>
            <w:pPr/>
            <w:r>
              <w:t xml:space="preserve">P1, add explicit tests across year boundaries</w:t>
            </w:r>
          </w:p>
        </w:tc>
      </w:tr>
      <w:tr>
        <w:tc>
          <w:tcPr>
            <w:tcW w:w="720" w:type="dxa"/>
          </w:tcPr>
          <w:p>
            <w:pPr/>
            <w:r>
              <w:t xml:space="preserve">8</w:t>
            </w:r>
          </w:p>
        </w:tc>
        <w:tc>
          <w:tcPr>
            <w:tcW w:w="2705" w:type="dxa"/>
          </w:tcPr>
          <w:p>
            <w:pPr/>
            <w:r>
              <w:t xml:space="preserve">Asia/Kolkata default timezone, injected shared </w:t>
            </w:r>
            <w:r>
              <w:rPr>
                <w:rStyle w:val="CodeChar"/>
              </w:rPr>
              <w:t xml:space="preserve">Clock</w:t>
            </w:r>
          </w:p>
        </w:tc>
        <w:tc>
          <w:tcPr>
            <w:tcW w:w="1583" w:type="dxa"/>
          </w:tcPr>
          <w:p>
            <w:pPr/>
            <w:r>
              <w:t xml:space="preserve">Technical constraint (good)</w:t>
            </w:r>
          </w:p>
        </w:tc>
        <w:tc>
          <w:tcPr>
            <w:tcW w:w="2615" w:type="dxa"/>
          </w:tcPr>
          <w:p>
            <w:pPr/>
            <w:r>
              <w:t xml:space="preserve">Enables deterministic tests</w:t>
            </w:r>
          </w:p>
        </w:tc>
        <w:tc>
          <w:tcPr>
            <w:tcW w:w="1737" w:type="dxa"/>
          </w:tcPr>
          <w:p>
            <w:pPr/>
            <w:r>
              <w:t xml:space="preserve">Keep; enforce in review checklist</w:t>
            </w:r>
          </w:p>
        </w:tc>
      </w:tr>
    </w:tbl>
    <w:p>
      <w:pPr>
        <w:pStyle w:val="Heading2"/>
      </w:pPr>
      <w:r>
        <w:t xml:space="preserve">5. Market landscape and target market</w:t>
      </w:r>
    </w:p>
    <w:p>
      <w:pPr/>
      <w:r>
        <w:rPr>
          <w:b/>
        </w:rPr>
        <w:t xml:space="preserve">Facts (UDISE+ 2024-25, via secondary analyses of Ministry of Education data):</w:t>
      </w:r>
      <w:r>
        <w:t xml:space="preserve"> 1,471,473 schools, about 246.9 million enrolments, about 10.1 million teachers. Government schools are about 70% of schools but about half of students; private schools are about 21% of schools yet about 39% of students, and private unaided enrolment is rising. A secondary source reports UDISE+ 2025-26 released 7 July 2026 with about 1.467 million schools; treat as single-source until checked against the official release.</w:t>
      </w:r>
    </w:p>
    <w:p>
      <w:pPr/>
      <w:r>
        <w:rPr>
          <w:b/>
        </w:rPr>
        <w:t xml:space="preserve">Market-size reports</w:t>
      </w:r>
      <w:r>
        <w:t xml:space="preserve"> (Technavio/Research and Markets, MarketsandMarkets) are paywalled global estimates with different definitions; Vidya should not use them for planning. No credible India-specific K–12 SaaS market share data was found; vendor claims such as a competitor's 12–15% share are </w:t>
      </w:r>
      <w:r>
        <w:rPr>
          <w:b/>
        </w:rPr>
        <w:t xml:space="preserve">unverified</w:t>
      </w:r>
      <w:r>
        <w:t xml:space="preserve">.</w:t>
      </w:r>
    </w:p>
    <w:p>
      <w:pPr/>
      <w:r>
        <w:rPr>
          <w:b/>
        </w:rPr>
        <w:t xml:space="preserve">Hypotheses to validate:</w:t>
      </w:r>
      <w:r>
        <w:t xml:space="preserve"> private unaided schools are the paying segment; government schools are largely served through state systems and procurement, which is a poor early target; fee collection and parent communication are the strongest purchase triggers.</w:t>
      </w:r>
    </w:p>
    <w:p>
      <w:pPr>
        <w:pStyle w:val="Heading2"/>
      </w:pPr>
      <w:r>
        <w:t xml:space="preserve">6. Research methodology and source quality</w:t>
      </w:r>
    </w:p>
    <w:tbl>
      <w:tblPr>
        <w:tblStyle w:val="TableGrid"/>
        <w:tblW w:w="0" w:type="auto"/>
        <w:tblLayout w:type="fixed"/>
        <w:tblLook w:val="04A0" w:firstRow="1" w:lastRow="0" w:firstColumn="0" w:lastColumn="0" w:noHBand="0" w:noVBand="1"/>
      </w:tblPr>
      <w:tblGrid>
        <w:gridCol w:w="2449"/>
        <w:gridCol w:w="3944"/>
        <w:gridCol w:w="1385"/>
        <w:gridCol w:w="1582"/>
      </w:tblGrid>
      <w:tr>
        <w:trPr>
          <w:tblHeader/>
        </w:trPr>
        <w:tc>
          <w:tcPr>
            <w:tcW w:w="2449" w:type="dxa"/>
            <w:shd w:val="clear" w:color="auto" w:fill="F2F2F2"/>
          </w:tcPr>
          <w:p>
            <w:pPr/>
            <w:r>
              <w:t xml:space="preserve">Source type</w:t>
            </w:r>
          </w:p>
        </w:tc>
        <w:tc>
          <w:tcPr>
            <w:tcW w:w="3944" w:type="dxa"/>
            <w:shd w:val="clear" w:color="auto" w:fill="F2F2F2"/>
          </w:tcPr>
          <w:p>
            <w:pPr/>
            <w:r>
              <w:t xml:space="preserve">Examples</w:t>
            </w:r>
          </w:p>
        </w:tc>
        <w:tc>
          <w:tcPr>
            <w:tcW w:w="1385" w:type="dxa"/>
            <w:shd w:val="clear" w:color="auto" w:fill="F2F2F2"/>
          </w:tcPr>
          <w:p>
            <w:pPr/>
            <w:r>
              <w:t xml:space="preserve">Use</w:t>
            </w:r>
          </w:p>
        </w:tc>
        <w:tc>
          <w:tcPr>
            <w:tcW w:w="1582" w:type="dxa"/>
            <w:shd w:val="clear" w:color="auto" w:fill="F2F2F2"/>
          </w:tcPr>
          <w:p>
            <w:pPr/>
            <w:r>
              <w:t xml:space="preserve">Confidence</w:t>
            </w:r>
          </w:p>
        </w:tc>
      </w:tr>
      <w:tr>
        <w:tc>
          <w:tcPr>
            <w:tcW w:w="2449" w:type="dxa"/>
          </w:tcPr>
          <w:p>
            <w:pPr/>
            <w:r>
              <w:t xml:space="preserve">Government / official-derived statistics</w:t>
            </w:r>
          </w:p>
        </w:tc>
        <w:tc>
          <w:tcPr>
            <w:tcW w:w="3944" w:type="dxa"/>
          </w:tcPr>
          <w:p>
            <w:pPr/>
            <w:r>
              <w:t xml:space="preserve">UDISE+ via NIEPA-linked analysis, Factly/Dataful</w:t>
            </w:r>
          </w:p>
        </w:tc>
        <w:tc>
          <w:tcPr>
            <w:tcW w:w="1385" w:type="dxa"/>
          </w:tcPr>
          <w:p>
            <w:pPr/>
            <w:r>
              <w:t xml:space="preserve">Market sizing</w:t>
            </w:r>
          </w:p>
        </w:tc>
        <w:tc>
          <w:tcPr>
            <w:tcW w:w="1582" w:type="dxa"/>
          </w:tcPr>
          <w:p>
            <w:pPr/>
            <w:r>
              <w:t xml:space="preserve">Medium-high</w:t>
            </w:r>
          </w:p>
        </w:tc>
      </w:tr>
      <w:tr>
        <w:tc>
          <w:tcPr>
            <w:tcW w:w="2449" w:type="dxa"/>
          </w:tcPr>
          <w:p>
            <w:pPr/>
            <w:r>
              <w:t xml:space="preserve">Law firm / government-adjacent legal summaries</w:t>
            </w:r>
          </w:p>
        </w:tc>
        <w:tc>
          <w:tcPr>
            <w:tcW w:w="3944" w:type="dxa"/>
          </w:tcPr>
          <w:p>
            <w:pPr/>
            <w:r>
              <w:t xml:space="preserve">Mondaq, SCC Online, LiveLaw, EY, Lakshmikumaran &amp; Sridharan, DSK Legal</w:t>
            </w:r>
          </w:p>
        </w:tc>
        <w:tc>
          <w:tcPr>
            <w:tcW w:w="1385" w:type="dxa"/>
          </w:tcPr>
          <w:p>
            <w:pPr/>
            <w:r>
              <w:t xml:space="preserve">DPDP obligations</w:t>
            </w:r>
          </w:p>
        </w:tc>
        <w:tc>
          <w:tcPr>
            <w:tcW w:w="1582" w:type="dxa"/>
          </w:tcPr>
          <w:p>
            <w:pPr/>
            <w:r>
              <w:t xml:space="preserve">Medium-high; confirm against the Gazette</w:t>
            </w:r>
          </w:p>
        </w:tc>
      </w:tr>
      <w:tr>
        <w:tc>
          <w:tcPr>
            <w:tcW w:w="2449" w:type="dxa"/>
          </w:tcPr>
          <w:p>
            <w:pPr/>
            <w:r>
              <w:t xml:space="preserve">Review platforms</w:t>
            </w:r>
          </w:p>
        </w:tc>
        <w:tc>
          <w:tcPr>
            <w:tcW w:w="3944" w:type="dxa"/>
          </w:tcPr>
          <w:p>
            <w:pPr/>
            <w:r>
              <w:t xml:space="preserve">Capterra, Software Advice, TrustRadius, G2</w:t>
            </w:r>
          </w:p>
        </w:tc>
        <w:tc>
          <w:tcPr>
            <w:tcW w:w="1385" w:type="dxa"/>
          </w:tcPr>
          <w:p>
            <w:pPr/>
            <w:r>
              <w:t xml:space="preserve">Pricing hints</w:t>
            </w:r>
          </w:p>
        </w:tc>
        <w:tc>
          <w:tcPr>
            <w:tcW w:w="1582" w:type="dxa"/>
          </w:tcPr>
          <w:p>
            <w:pPr/>
            <w:r>
              <w:t xml:space="preserve">Medium, prices vary by listing</w:t>
            </w:r>
          </w:p>
        </w:tc>
      </w:tr>
      <w:tr>
        <w:tc>
          <w:tcPr>
            <w:tcW w:w="2449" w:type="dxa"/>
          </w:tcPr>
          <w:p>
            <w:pPr/>
            <w:r>
              <w:t xml:space="preserve">Vendor blogs and "best ERP" lists</w:t>
            </w:r>
          </w:p>
        </w:tc>
        <w:tc>
          <w:tcPr>
            <w:tcW w:w="3944" w:type="dxa"/>
          </w:tcPr>
          <w:p>
            <w:pPr/>
            <w:r>
              <w:t xml:space="preserve">Fuzen, Devryon, Class ON, Decentro, Sunbeam, Growthjockey, Codingclave</w:t>
            </w:r>
          </w:p>
        </w:tc>
        <w:tc>
          <w:tcPr>
            <w:tcW w:w="1385" w:type="dxa"/>
          </w:tcPr>
          <w:p>
            <w:pPr/>
            <w:r>
              <w:t xml:space="preserve">Category structure only</w:t>
            </w:r>
          </w:p>
        </w:tc>
        <w:tc>
          <w:tcPr>
            <w:tcW w:w="1582" w:type="dxa"/>
          </w:tcPr>
          <w:p>
            <w:pPr/>
            <w:r>
              <w:t xml:space="preserve">Low</w:t>
            </w:r>
          </w:p>
        </w:tc>
      </w:tr>
      <w:tr>
        <w:tc>
          <w:tcPr>
            <w:tcW w:w="2449" w:type="dxa"/>
          </w:tcPr>
          <w:p>
            <w:pPr/>
            <w:r>
              <w:t xml:space="preserve">Analyst press pages</w:t>
            </w:r>
          </w:p>
        </w:tc>
        <w:tc>
          <w:tcPr>
            <w:tcW w:w="3944" w:type="dxa"/>
          </w:tcPr>
          <w:p>
            <w:pPr/>
            <w:r>
              <w:t xml:space="preserve">Technavio, MarketsandMarkets</w:t>
            </w:r>
          </w:p>
        </w:tc>
        <w:tc>
          <w:tcPr>
            <w:tcW w:w="1385" w:type="dxa"/>
          </w:tcPr>
          <w:p>
            <w:pPr/>
            <w:r>
              <w:t xml:space="preserve">Directional only</w:t>
            </w:r>
          </w:p>
        </w:tc>
        <w:tc>
          <w:tcPr>
            <w:tcW w:w="1582" w:type="dxa"/>
          </w:tcPr>
          <w:p>
            <w:pPr/>
            <w:r>
              <w:t xml:space="preserve">Low</w:t>
            </w:r>
          </w:p>
        </w:tc>
      </w:tr>
    </w:tbl>
    <w:p>
      <w:pPr/>
      <w:r>
        <w:t xml:space="preserve">Vendor-published survey figures (for example an "annual fee leakage" total and push-versus-SMS open-rate claims from a vendor media kit) were </w:t>
      </w:r>
      <w:r>
        <w:rPr>
          <w:b/>
        </w:rPr>
        <w:t xml:space="preserve">deliberately not used</w:t>
      </w:r>
      <w:r>
        <w:t xml:space="preserve">.</w:t>
      </w:r>
    </w:p>
    <w:p>
      <w:pPr>
        <w:pStyle w:val="Heading2"/>
      </w:pPr>
      <w:r>
        <w:t xml:space="preserve">7. Competitor analysis (preliminary, low-to-medium confidence)</w:t>
      </w:r>
    </w:p>
    <w:tbl>
      <w:tblPr>
        <w:tblStyle w:val="TableGrid"/>
        <w:tblW w:w="0" w:type="auto"/>
        <w:tblLayout w:type="fixed"/>
        <w:tblLook w:val="04A0" w:firstRow="1" w:lastRow="0" w:firstColumn="0" w:lastColumn="0" w:noHBand="0" w:noVBand="1"/>
      </w:tblPr>
      <w:tblGrid>
        <w:gridCol w:w="1872"/>
        <w:gridCol w:w="1556"/>
        <w:gridCol w:w="2371"/>
        <w:gridCol w:w="1920"/>
        <w:gridCol w:w="1641"/>
      </w:tblGrid>
      <w:tr>
        <w:trPr>
          <w:tblHeader/>
        </w:trPr>
        <w:tc>
          <w:tcPr>
            <w:tcW w:w="1872" w:type="dxa"/>
            <w:shd w:val="clear" w:color="auto" w:fill="F2F2F2"/>
          </w:tcPr>
          <w:p>
            <w:pPr/>
            <w:r>
              <w:t xml:space="preserve">Product</w:t>
            </w:r>
          </w:p>
        </w:tc>
        <w:tc>
          <w:tcPr>
            <w:tcW w:w="1556" w:type="dxa"/>
            <w:shd w:val="clear" w:color="auto" w:fill="F2F2F2"/>
          </w:tcPr>
          <w:p>
            <w:pPr/>
            <w:r>
              <w:t xml:space="preserve">Category</w:t>
            </w:r>
          </w:p>
        </w:tc>
        <w:tc>
          <w:tcPr>
            <w:tcW w:w="2371" w:type="dxa"/>
            <w:shd w:val="clear" w:color="auto" w:fill="F2F2F2"/>
          </w:tcPr>
          <w:p>
            <w:pPr/>
            <w:r>
              <w:t xml:space="preserve">Evidence found</w:t>
            </w:r>
          </w:p>
        </w:tc>
        <w:tc>
          <w:tcPr>
            <w:tcW w:w="1920" w:type="dxa"/>
            <w:shd w:val="clear" w:color="auto" w:fill="F2F2F2"/>
          </w:tcPr>
          <w:p>
            <w:pPr/>
            <w:r>
              <w:t xml:space="preserve">Pricing evidence</w:t>
            </w:r>
          </w:p>
        </w:tc>
        <w:tc>
          <w:tcPr>
            <w:tcW w:w="1641" w:type="dxa"/>
            <w:shd w:val="clear" w:color="auto" w:fill="F2F2F2"/>
          </w:tcPr>
          <w:p>
            <w:pPr/>
            <w:r>
              <w:t xml:space="preserve">Confidence</w:t>
            </w:r>
          </w:p>
        </w:tc>
      </w:tr>
      <w:tr>
        <w:tc>
          <w:tcPr>
            <w:tcW w:w="1872" w:type="dxa"/>
          </w:tcPr>
          <w:p>
            <w:pPr/>
            <w:r>
              <w:t xml:space="preserve">Entab CampusCare</w:t>
            </w:r>
          </w:p>
        </w:tc>
        <w:tc>
          <w:tcPr>
            <w:tcW w:w="1556" w:type="dxa"/>
          </w:tcPr>
          <w:p>
            <w:pPr/>
            <w:r>
              <w:t xml:space="preserve">Full school ERP, large/CBSE schools</w:t>
            </w:r>
          </w:p>
        </w:tc>
        <w:tc>
          <w:tcPr>
            <w:tcW w:w="2371" w:type="dxa"/>
          </w:tcPr>
          <w:p>
            <w:pPr/>
            <w:r>
              <w:t xml:space="preserve">Widely listed; school counts range from 1,200 to 3,000 across sources</w:t>
            </w:r>
          </w:p>
        </w:tc>
        <w:tc>
          <w:tcPr>
            <w:tcW w:w="1920" w:type="dxa"/>
          </w:tcPr>
          <w:p>
            <w:pPr/>
            <w:r>
              <w:t xml:space="preserve">Not published. Estimates conflict: Rs 1.5–8 lakh/yr in one vendor comparison versus Rs 25,000–80,000/yr in another</w:t>
            </w:r>
          </w:p>
        </w:tc>
        <w:tc>
          <w:tcPr>
            <w:tcW w:w="1641" w:type="dxa"/>
          </w:tcPr>
          <w:p>
            <w:pPr/>
            <w:r>
              <w:t xml:space="preserve">Low</w:t>
            </w:r>
          </w:p>
        </w:tc>
      </w:tr>
      <w:tr>
        <w:tc>
          <w:tcPr>
            <w:tcW w:w="1872" w:type="dxa"/>
          </w:tcPr>
          <w:p>
            <w:pPr/>
            <w:r>
              <w:t xml:space="preserve">Fedena (Foradian)</w:t>
            </w:r>
          </w:p>
        </w:tc>
        <w:tc>
          <w:tcPr>
            <w:tcW w:w="1556" w:type="dxa"/>
          </w:tcPr>
          <w:p>
            <w:pPr/>
            <w:r>
              <w:t xml:space="preserve">Full ERP, originally open source</w:t>
            </w:r>
          </w:p>
        </w:tc>
        <w:tc>
          <w:tcPr>
            <w:tcW w:w="2371" w:type="dxa"/>
          </w:tcPr>
          <w:p>
            <w:pPr/>
            <w:r>
              <w:t xml:space="preserve">Modules span fees, HR/payroll, library, transport, hostel; review sites mention data-migration effort</w:t>
            </w:r>
          </w:p>
        </w:tc>
        <w:tc>
          <w:tcPr>
            <w:tcW w:w="1920" w:type="dxa"/>
          </w:tcPr>
          <w:p>
            <w:pPr/>
            <w:r>
              <w:t xml:space="preserve">Review sites list entry pricing of about $999–$1,299/yr (per feature or plan; listings differ)</w:t>
            </w:r>
          </w:p>
        </w:tc>
        <w:tc>
          <w:tcPr>
            <w:tcW w:w="1641" w:type="dxa"/>
          </w:tcPr>
          <w:p>
            <w:pPr/>
            <w:r>
              <w:t xml:space="preserve">Medium</w:t>
            </w:r>
          </w:p>
        </w:tc>
      </w:tr>
      <w:tr>
        <w:tc>
          <w:tcPr>
            <w:tcW w:w="1872" w:type="dxa"/>
          </w:tcPr>
          <w:p>
            <w:pPr/>
            <w:r>
              <w:t xml:space="preserve">Teachmint</w:t>
            </w:r>
          </w:p>
        </w:tc>
        <w:tc>
          <w:tcPr>
            <w:tcW w:w="1556" w:type="dxa"/>
          </w:tcPr>
          <w:p>
            <w:pPr/>
            <w:r>
              <w:t xml:space="preserve">Classroom platform expanding into school management</w:t>
            </w:r>
          </w:p>
        </w:tc>
        <w:tc>
          <w:tcPr>
            <w:tcW w:w="2371" w:type="dxa"/>
          </w:tcPr>
          <w:p>
            <w:pPr/>
            <w:r>
              <w:t xml:space="preserve">ERP depth (fees, timetable, HR) described as less mature than Entab/Fedena, per a competitor-authored comparison</w:t>
            </w:r>
          </w:p>
        </w:tc>
        <w:tc>
          <w:tcPr>
            <w:tcW w:w="1920" w:type="dxa"/>
          </w:tcPr>
          <w:p>
            <w:pPr/>
            <w:r>
              <w:t xml:space="preserve">Not published; one vendor guesses Rs 100–300/student/yr from community chatter</w:t>
            </w:r>
          </w:p>
        </w:tc>
        <w:tc>
          <w:tcPr>
            <w:tcW w:w="1641" w:type="dxa"/>
          </w:tcPr>
          <w:p>
            <w:pPr/>
            <w:r>
              <w:t xml:space="preserve">Low</w:t>
            </w:r>
          </w:p>
        </w:tc>
      </w:tr>
      <w:tr>
        <w:tc>
          <w:tcPr>
            <w:tcW w:w="1872" w:type="dxa"/>
          </w:tcPr>
          <w:p>
            <w:pPr/>
            <w:r>
              <w:t xml:space="preserve">VidyalayaERP</w:t>
            </w:r>
          </w:p>
        </w:tc>
        <w:tc>
          <w:tcPr>
            <w:tcW w:w="1556" w:type="dxa"/>
          </w:tcPr>
          <w:p>
            <w:pPr/>
            <w:r>
              <w:t xml:space="preserve">Cloud school ERP for Indian schools</w:t>
            </w:r>
          </w:p>
        </w:tc>
        <w:tc>
          <w:tcPr>
            <w:tcW w:w="2371" w:type="dxa"/>
          </w:tcPr>
          <w:p>
            <w:pPr/>
            <w:r>
              <w:t xml:space="preserve">Gartner listing (updated May 2026) cites a 15-day trial, onboarding support and transparent plans</w:t>
            </w:r>
          </w:p>
        </w:tc>
        <w:tc>
          <w:tcPr>
            <w:tcW w:w="1920" w:type="dxa"/>
          </w:tcPr>
          <w:p>
            <w:pPr/>
            <w:r>
              <w:t xml:space="preserve">Not verified</w:t>
            </w:r>
          </w:p>
        </w:tc>
        <w:tc>
          <w:tcPr>
            <w:tcW w:w="1641" w:type="dxa"/>
          </w:tcPr>
          <w:p>
            <w:pPr/>
            <w:r>
              <w:t xml:space="preserve">Low-medium</w:t>
            </w:r>
          </w:p>
        </w:tc>
      </w:tr>
      <w:tr>
        <w:tc>
          <w:tcPr>
            <w:tcW w:w="1872" w:type="dxa"/>
          </w:tcPr>
          <w:p>
            <w:pPr/>
            <w:r>
              <w:t xml:space="preserve">MyClassboard, MyClassCampus, Edunext, Schoollog, Campus 365, Classe365</w:t>
            </w:r>
          </w:p>
        </w:tc>
        <w:tc>
          <w:tcPr>
            <w:tcW w:w="1556" w:type="dxa"/>
          </w:tcPr>
          <w:p>
            <w:pPr/>
            <w:r>
              <w:t xml:space="preserve">Various</w:t>
            </w:r>
          </w:p>
        </w:tc>
        <w:tc>
          <w:tcPr>
            <w:tcW w:w="2371" w:type="dxa"/>
          </w:tcPr>
          <w:p>
            <w:pPr/>
            <w:r>
              <w:t xml:space="preserve">Appear in lists only</w:t>
            </w:r>
          </w:p>
        </w:tc>
        <w:tc>
          <w:tcPr>
            <w:tcW w:w="1920" w:type="dxa"/>
          </w:tcPr>
          <w:p>
            <w:pPr/>
            <w:r>
              <w:t xml:space="preserve">Not verified</w:t>
            </w:r>
          </w:p>
        </w:tc>
        <w:tc>
          <w:tcPr>
            <w:tcW w:w="1641" w:type="dxa"/>
          </w:tcPr>
          <w:p>
            <w:pPr/>
            <w:r>
              <w:t xml:space="preserve">Low</w:t>
            </w:r>
          </w:p>
        </w:tc>
      </w:tr>
    </w:tbl>
    <w:p>
      <w:pPr/>
      <w:r>
        <w:rPr>
          <w:b/>
        </w:rPr>
        <w:t xml:space="preserve">Not publicly verified:</w:t>
      </w:r>
      <w:r>
        <w:t xml:space="preserve"> each product's low-connectivity support, timetable conflict handling, multi-branch consolidation, APIs/webhooks, data-export portability, and customer-complaint patterns. Do not claim Vidya is better on any of these until checked against official docs and independent reviews (action in Section 27).</w:t>
      </w:r>
    </w:p>
    <w:p>
      <w:pPr/>
      <w:r>
        <w:rPr>
          <w:b/>
        </w:rPr>
        <w:t xml:space="preserve">Observation (not proof):</w:t>
      </w:r>
      <w:r>
        <w:t xml:space="preserve"> categories in comparison content are open source, freemium mobile-first, small-school, K–12 specialist and communication-first. The "freemium whose paid modules add up" complaint is a recurring vendor-written claim and should be tested in interviews.</w:t>
      </w:r>
    </w:p>
    <w:p>
      <w:pPr>
        <w:pStyle w:val="Heading2"/>
      </w:pPr>
      <w:r>
        <w:t xml:space="preserve">8. Customer problems and evidence</w:t>
      </w:r>
    </w:p>
    <w:p>
      <w:pPr/>
      <w:r>
        <w:t xml:space="preserve">All items below are </w:t>
      </w:r>
      <w:r>
        <w:rPr>
          <w:b/>
        </w:rPr>
        <w:t xml:space="preserve">hypotheses</w:t>
      </w:r>
      <w:r>
        <w:t xml:space="preserve">; prevalence is unmeasured.</w:t>
      </w:r>
    </w:p>
    <w:tbl>
      <w:tblPr>
        <w:tblStyle w:val="TableGrid"/>
        <w:tblW w:w="0" w:type="auto"/>
        <w:tblLayout w:type="fixed"/>
        <w:tblLook w:val="04A0" w:firstRow="1" w:lastRow="0" w:firstColumn="0" w:lastColumn="0" w:noHBand="0" w:noVBand="1"/>
      </w:tblPr>
      <w:tblGrid>
        <w:gridCol w:w="2634"/>
        <w:gridCol w:w="1503"/>
        <w:gridCol w:w="1939"/>
        <w:gridCol w:w="1701"/>
        <w:gridCol w:w="1583"/>
      </w:tblGrid>
      <w:tr>
        <w:trPr>
          <w:tblHeader/>
        </w:trPr>
        <w:tc>
          <w:tcPr>
            <w:tcW w:w="2634" w:type="dxa"/>
            <w:shd w:val="clear" w:color="auto" w:fill="F2F2F2"/>
          </w:tcPr>
          <w:p>
            <w:pPr/>
            <w:r>
              <w:t xml:space="preserve">Problem</w:t>
            </w:r>
          </w:p>
        </w:tc>
        <w:tc>
          <w:tcPr>
            <w:tcW w:w="1503" w:type="dxa"/>
            <w:shd w:val="clear" w:color="auto" w:fill="F2F2F2"/>
          </w:tcPr>
          <w:p>
            <w:pPr/>
            <w:r>
              <w:t xml:space="preserve">Persona</w:t>
            </w:r>
          </w:p>
        </w:tc>
        <w:tc>
          <w:tcPr>
            <w:tcW w:w="1939" w:type="dxa"/>
            <w:shd w:val="clear" w:color="auto" w:fill="F2F2F2"/>
          </w:tcPr>
          <w:p>
            <w:pPr/>
            <w:r>
              <w:t xml:space="preserve">Evidence status</w:t>
            </w:r>
          </w:p>
        </w:tc>
        <w:tc>
          <w:tcPr>
            <w:tcW w:w="1701" w:type="dxa"/>
            <w:shd w:val="clear" w:color="auto" w:fill="F2F2F2"/>
          </w:tcPr>
          <w:p>
            <w:pPr/>
            <w:r>
              <w:t xml:space="preserve">Existing workaround</w:t>
            </w:r>
          </w:p>
        </w:tc>
        <w:tc>
          <w:tcPr>
            <w:tcW w:w="1583" w:type="dxa"/>
            <w:shd w:val="clear" w:color="auto" w:fill="F2F2F2"/>
          </w:tcPr>
          <w:p>
            <w:pPr/>
            <w:r>
              <w:t xml:space="preserve">Vidya can solve?</w:t>
            </w:r>
          </w:p>
        </w:tc>
      </w:tr>
      <w:tr>
        <w:tc>
          <w:tcPr>
            <w:tcW w:w="2634" w:type="dxa"/>
          </w:tcPr>
          <w:p>
            <w:pPr/>
            <w:r>
              <w:t xml:space="preserve">Complex fees (installments, concessions, sibling discounts, refunds) and slow recovery</w:t>
            </w:r>
          </w:p>
        </w:tc>
        <w:tc>
          <w:tcPr>
            <w:tcW w:w="1503" w:type="dxa"/>
          </w:tcPr>
          <w:p>
            <w:pPr/>
            <w:r>
              <w:t xml:space="preserve">Accountant, owner</w:t>
            </w:r>
          </w:p>
        </w:tc>
        <w:tc>
          <w:tcPr>
            <w:tcW w:w="1939" w:type="dxa"/>
          </w:tcPr>
          <w:p>
            <w:pPr/>
            <w:r>
              <w:t xml:space="preserve">Frequently asserted by vendors; no neutral source yet</w:t>
            </w:r>
          </w:p>
        </w:tc>
        <w:tc>
          <w:tcPr>
            <w:tcW w:w="1701" w:type="dxa"/>
          </w:tcPr>
          <w:p>
            <w:pPr/>
            <w:r>
              <w:t xml:space="preserve">Spreadsheets, Tally, receipt books</w:t>
            </w:r>
          </w:p>
        </w:tc>
        <w:tc>
          <w:tcPr>
            <w:tcW w:w="1583" w:type="dxa"/>
          </w:tcPr>
          <w:p>
            <w:pPr/>
            <w:r>
              <w:t xml:space="preserve">Yes, but needs accounting validation</w:t>
            </w:r>
          </w:p>
        </w:tc>
      </w:tr>
      <w:tr>
        <w:tc>
          <w:tcPr>
            <w:tcW w:w="2634" w:type="dxa"/>
          </w:tcPr>
          <w:p>
            <w:pPr/>
            <w:r>
              <w:t xml:space="preserve">Manual attendance, corrections without audit</w:t>
            </w:r>
          </w:p>
        </w:tc>
        <w:tc>
          <w:tcPr>
            <w:tcW w:w="1503" w:type="dxa"/>
          </w:tcPr>
          <w:p>
            <w:pPr/>
            <w:r>
              <w:t xml:space="preserve">Teacher, admin</w:t>
            </w:r>
          </w:p>
        </w:tc>
        <w:tc>
          <w:tcPr>
            <w:tcW w:w="1939" w:type="dxa"/>
          </w:tcPr>
          <w:p>
            <w:pPr/>
            <w:r>
              <w:t xml:space="preserve">Existing Vidya capability addresses this</w:t>
            </w:r>
          </w:p>
        </w:tc>
        <w:tc>
          <w:tcPr>
            <w:tcW w:w="1701" w:type="dxa"/>
          </w:tcPr>
          <w:p>
            <w:pPr/>
            <w:r>
              <w:t xml:space="preserve">Paper registers</w:t>
            </w:r>
          </w:p>
        </w:tc>
        <w:tc>
          <w:tcPr>
            <w:tcW w:w="1583" w:type="dxa"/>
          </w:tcPr>
          <w:p>
            <w:pPr/>
            <w:r>
              <w:t xml:space="preserve">Yes (exists)</w:t>
            </w:r>
          </w:p>
        </w:tc>
      </w:tr>
      <w:tr>
        <w:tc>
          <w:tcPr>
            <w:tcW w:w="2634" w:type="dxa"/>
          </w:tcPr>
          <w:p>
            <w:pPr/>
            <w:r>
              <w:t xml:space="preserve">Timetable clashes and last-minute substitutions</w:t>
            </w:r>
          </w:p>
        </w:tc>
        <w:tc>
          <w:tcPr>
            <w:tcW w:w="1503" w:type="dxa"/>
          </w:tcPr>
          <w:p>
            <w:pPr/>
            <w:r>
              <w:t xml:space="preserve">Coordinator</w:t>
            </w:r>
          </w:p>
        </w:tc>
        <w:tc>
          <w:tcPr>
            <w:tcW w:w="1939" w:type="dxa"/>
          </w:tcPr>
          <w:p>
            <w:pPr/>
            <w:r>
              <w:t xml:space="preserve">Existing capability; electives gap</w:t>
            </w:r>
          </w:p>
        </w:tc>
        <w:tc>
          <w:tcPr>
            <w:tcW w:w="1701" w:type="dxa"/>
          </w:tcPr>
          <w:p>
            <w:pPr/>
            <w:r>
              <w:t xml:space="preserve">Manual boards</w:t>
            </w:r>
          </w:p>
        </w:tc>
        <w:tc>
          <w:tcPr>
            <w:tcW w:w="1583" w:type="dxa"/>
          </w:tcPr>
          <w:p>
            <w:pPr/>
            <w:r>
              <w:t xml:space="preserve">Partly</w:t>
            </w:r>
          </w:p>
        </w:tc>
      </w:tr>
      <w:tr>
        <w:tc>
          <w:tcPr>
            <w:tcW w:w="2634" w:type="dxa"/>
          </w:tcPr>
          <w:p>
            <w:pPr/>
            <w:r>
              <w:t xml:space="preserve">School-to-parent communication scattered across WhatsApp</w:t>
            </w:r>
          </w:p>
        </w:tc>
        <w:tc>
          <w:tcPr>
            <w:tcW w:w="1503" w:type="dxa"/>
          </w:tcPr>
          <w:p>
            <w:pPr/>
            <w:r>
              <w:t xml:space="preserve">Principal, parent</w:t>
            </w:r>
          </w:p>
        </w:tc>
        <w:tc>
          <w:tcPr>
            <w:tcW w:w="1939" w:type="dxa"/>
          </w:tcPr>
          <w:p>
            <w:pPr/>
            <w:r>
              <w:t xml:space="preserve">Plausible; unmeasured</w:t>
            </w:r>
          </w:p>
        </w:tc>
        <w:tc>
          <w:tcPr>
            <w:tcW w:w="1701" w:type="dxa"/>
          </w:tcPr>
          <w:p>
            <w:pPr/>
            <w:r>
              <w:t xml:space="preserve">WhatsApp groups</w:t>
            </w:r>
          </w:p>
        </w:tc>
        <w:tc>
          <w:tcPr>
            <w:tcW w:w="1583" w:type="dxa"/>
          </w:tcPr>
          <w:p>
            <w:pPr/>
            <w:r>
              <w:t xml:space="preserve">Yes, with consent and cost care</w:t>
            </w:r>
          </w:p>
        </w:tc>
      </w:tr>
      <w:tr>
        <w:tc>
          <w:tcPr>
            <w:tcW w:w="2634" w:type="dxa"/>
          </w:tcPr>
          <w:p>
            <w:pPr/>
            <w:r>
              <w:t xml:space="preserve">Report cards and exam workflows per board</w:t>
            </w:r>
          </w:p>
        </w:tc>
        <w:tc>
          <w:tcPr>
            <w:tcW w:w="1503" w:type="dxa"/>
          </w:tcPr>
          <w:p>
            <w:pPr/>
            <w:r>
              <w:t xml:space="preserve">Coordinator, teacher</w:t>
            </w:r>
          </w:p>
        </w:tc>
        <w:tc>
          <w:tcPr>
            <w:tcW w:w="1939" w:type="dxa"/>
          </w:tcPr>
          <w:p>
            <w:pPr/>
            <w:r>
              <w:t xml:space="preserve">Not researched</w:t>
            </w:r>
          </w:p>
        </w:tc>
        <w:tc>
          <w:tcPr>
            <w:tcW w:w="1701" w:type="dxa"/>
          </w:tcPr>
          <w:p>
            <w:pPr/>
            <w:r>
              <w:t xml:space="preserve">Excel templates</w:t>
            </w:r>
          </w:p>
        </w:tc>
        <w:tc>
          <w:tcPr>
            <w:tcW w:w="1583" w:type="dxa"/>
          </w:tcPr>
          <w:p>
            <w:pPr/>
            <w:r>
              <w:t xml:space="preserve">Needs board-specific research</w:t>
            </w:r>
          </w:p>
        </w:tc>
      </w:tr>
      <w:tr>
        <w:tc>
          <w:tcPr>
            <w:tcW w:w="2634" w:type="dxa"/>
          </w:tcPr>
          <w:p>
            <w:pPr/>
            <w:r>
              <w:t xml:space="preserve">Onboarding and migration pain</w:t>
            </w:r>
          </w:p>
        </w:tc>
        <w:tc>
          <w:tcPr>
            <w:tcW w:w="1503" w:type="dxa"/>
          </w:tcPr>
          <w:p>
            <w:pPr/>
            <w:r>
              <w:t xml:space="preserve">Admin</w:t>
            </w:r>
          </w:p>
        </w:tc>
        <w:tc>
          <w:tcPr>
            <w:tcW w:w="1939" w:type="dxa"/>
          </w:tcPr>
          <w:p>
            <w:pPr/>
            <w:r>
              <w:t xml:space="preserve">Fedena review text mentions migration cleanup effort</w:t>
            </w:r>
          </w:p>
        </w:tc>
        <w:tc>
          <w:tcPr>
            <w:tcW w:w="1701" w:type="dxa"/>
          </w:tcPr>
          <w:p>
            <w:pPr/>
            <w:r>
              <w:t xml:space="preserve">Vendor-led data entry</w:t>
            </w:r>
          </w:p>
        </w:tc>
        <w:tc>
          <w:tcPr>
            <w:tcW w:w="1583" w:type="dxa"/>
          </w:tcPr>
          <w:p>
            <w:pPr/>
            <w:r>
              <w:t xml:space="preserve">Yes, a likely differentiator</w:t>
            </w:r>
          </w:p>
        </w:tc>
      </w:tr>
      <w:tr>
        <w:tc>
          <w:tcPr>
            <w:tcW w:w="2634" w:type="dxa"/>
          </w:tcPr>
          <w:p>
            <w:pPr/>
            <w:r>
              <w:t xml:space="preserve">Opaque pricing and add-on costs</w:t>
            </w:r>
          </w:p>
        </w:tc>
        <w:tc>
          <w:tcPr>
            <w:tcW w:w="1503" w:type="dxa"/>
          </w:tcPr>
          <w:p>
            <w:pPr/>
            <w:r>
              <w:t xml:space="preserve">Owner</w:t>
            </w:r>
          </w:p>
        </w:tc>
        <w:tc>
          <w:tcPr>
            <w:tcW w:w="1939" w:type="dxa"/>
          </w:tcPr>
          <w:p>
            <w:pPr/>
            <w:r>
              <w:t xml:space="preserve">Vendor-authored claims only</w:t>
            </w:r>
          </w:p>
        </w:tc>
        <w:tc>
          <w:tcPr>
            <w:tcW w:w="1701" w:type="dxa"/>
          </w:tcPr>
          <w:p>
            <w:pPr/>
            <w:r>
              <w:t xml:space="preserve">Negotiation</w:t>
            </w:r>
          </w:p>
        </w:tc>
        <w:tc>
          <w:tcPr>
            <w:tcW w:w="1583" w:type="dxa"/>
          </w:tcPr>
          <w:p>
            <w:pPr/>
            <w:r>
              <w:t xml:space="preserve">Yes, if pricing is transparent</w:t>
            </w:r>
          </w:p>
        </w:tc>
      </w:tr>
      <w:tr>
        <w:tc>
          <w:tcPr>
            <w:tcW w:w="2634" w:type="dxa"/>
          </w:tcPr>
          <w:p>
            <w:pPr/>
            <w:r>
              <w:t xml:space="preserve">Vendor lock-in and poor export</w:t>
            </w:r>
          </w:p>
        </w:tc>
        <w:tc>
          <w:tcPr>
            <w:tcW w:w="1503" w:type="dxa"/>
          </w:tcPr>
          <w:p>
            <w:pPr/>
            <w:r>
              <w:t xml:space="preserve">Owner</w:t>
            </w:r>
          </w:p>
        </w:tc>
        <w:tc>
          <w:tcPr>
            <w:tcW w:w="1939" w:type="dxa"/>
          </w:tcPr>
          <w:p>
            <w:pPr/>
            <w:r>
              <w:t xml:space="preserve">Not verified</w:t>
            </w:r>
          </w:p>
        </w:tc>
        <w:tc>
          <w:tcPr>
            <w:tcW w:w="1701" w:type="dxa"/>
          </w:tcPr>
          <w:p>
            <w:pPr/>
            <w:r>
              <w:t xml:space="preserve">None</w:t>
            </w:r>
          </w:p>
        </w:tc>
        <w:tc>
          <w:tcPr>
            <w:tcW w:w="1583" w:type="dxa"/>
          </w:tcPr>
          <w:p>
            <w:pPr/>
            <w:r>
              <w:t xml:space="preserve">Yes, cheap to offer</w:t>
            </w:r>
          </w:p>
        </w:tc>
      </w:tr>
    </w:tbl>
    <w:p>
      <w:pPr>
        <w:pStyle w:val="Heading2"/>
      </w:pPr>
      <w:r>
        <w:t xml:space="preserve">9. Market gaps and opportunity prioritization</w:t>
      </w:r>
    </w:p>
    <w:tbl>
      <w:tblPr>
        <w:tblStyle w:val="TableGrid"/>
        <w:tblW w:w="0" w:type="auto"/>
        <w:tblLayout w:type="fixed"/>
        <w:tblLook w:val="04A0" w:firstRow="1" w:lastRow="0" w:firstColumn="0" w:lastColumn="0" w:noHBand="0" w:noVBand="1"/>
      </w:tblPr>
      <w:tblGrid>
        <w:gridCol w:w="2240"/>
        <w:gridCol w:w="1232"/>
        <w:gridCol w:w="1560"/>
        <w:gridCol w:w="1560"/>
        <w:gridCol w:w="1384"/>
        <w:gridCol w:w="1384"/>
      </w:tblGrid>
      <w:tr>
        <w:trPr>
          <w:tblHeader/>
        </w:trPr>
        <w:tc>
          <w:tcPr>
            <w:tcW w:w="2240" w:type="dxa"/>
            <w:shd w:val="clear" w:color="auto" w:fill="F2F2F2"/>
          </w:tcPr>
          <w:p>
            <w:pPr/>
            <w:r>
              <w:t xml:space="preserve">Opportunity</w:t>
            </w:r>
          </w:p>
        </w:tc>
        <w:tc>
          <w:tcPr>
            <w:tcW w:w="1232" w:type="dxa"/>
            <w:shd w:val="clear" w:color="auto" w:fill="F2F2F2"/>
          </w:tcPr>
          <w:p>
            <w:pPr/>
            <w:r>
              <w:t xml:space="preserve">Customer value</w:t>
            </w:r>
          </w:p>
        </w:tc>
        <w:tc>
          <w:tcPr>
            <w:tcW w:w="1560" w:type="dxa"/>
            <w:shd w:val="clear" w:color="auto" w:fill="F2F2F2"/>
          </w:tcPr>
          <w:p>
            <w:pPr/>
            <w:r>
              <w:t xml:space="preserve">Differentiation</w:t>
            </w:r>
          </w:p>
        </w:tc>
        <w:tc>
          <w:tcPr>
            <w:tcW w:w="1560" w:type="dxa"/>
            <w:shd w:val="clear" w:color="auto" w:fill="F2F2F2"/>
          </w:tcPr>
          <w:p>
            <w:pPr/>
            <w:r>
              <w:t xml:space="preserve">Feasibility</w:t>
            </w:r>
          </w:p>
        </w:tc>
        <w:tc>
          <w:tcPr>
            <w:tcW w:w="1384" w:type="dxa"/>
            <w:shd w:val="clear" w:color="auto" w:fill="F2F2F2"/>
          </w:tcPr>
          <w:p>
            <w:pPr/>
            <w:r>
              <w:t xml:space="preserve">Confidence</w:t>
            </w:r>
          </w:p>
        </w:tc>
        <w:tc>
          <w:tcPr>
            <w:tcW w:w="1384" w:type="dxa"/>
            <w:shd w:val="clear" w:color="auto" w:fill="F2F2F2"/>
          </w:tcPr>
          <w:p>
            <w:pPr/>
            <w:r>
              <w:t xml:space="preserve">Validation</w:t>
            </w:r>
          </w:p>
        </w:tc>
      </w:tr>
      <w:tr>
        <w:tc>
          <w:tcPr>
            <w:tcW w:w="2240" w:type="dxa"/>
          </w:tcPr>
          <w:p>
            <w:pPr/>
            <w:r>
              <w:t xml:space="preserve">Fast, self-service onboarding with validated bulk import</w:t>
            </w:r>
          </w:p>
        </w:tc>
        <w:tc>
          <w:tcPr>
            <w:tcW w:w="1232" w:type="dxa"/>
          </w:tcPr>
          <w:p>
            <w:pPr/>
            <w:r>
              <w:t xml:space="preserve">High: time to first value</w:t>
            </w:r>
          </w:p>
        </w:tc>
        <w:tc>
          <w:tcPr>
            <w:tcW w:w="1560" w:type="dxa"/>
          </w:tcPr>
          <w:p>
            <w:pPr/>
            <w:r>
              <w:t xml:space="preserve">Medium: copyable but hard to execute well</w:t>
            </w:r>
          </w:p>
        </w:tc>
        <w:tc>
          <w:tcPr>
            <w:tcW w:w="1560" w:type="dxa"/>
          </w:tcPr>
          <w:p>
            <w:pPr/>
            <w:r>
              <w:t xml:space="preserve">Medium</w:t>
            </w:r>
          </w:p>
        </w:tc>
        <w:tc>
          <w:tcPr>
            <w:tcW w:w="1384" w:type="dxa"/>
          </w:tcPr>
          <w:p>
            <w:pPr/>
            <w:r>
              <w:t xml:space="preserve">Medium</w:t>
            </w:r>
          </w:p>
        </w:tc>
        <w:tc>
          <w:tcPr>
            <w:tcW w:w="1384" w:type="dxa"/>
          </w:tcPr>
          <w:p>
            <w:pPr/>
            <w:r>
              <w:t xml:space="preserve">Pilot with 3 schools, measure setup time</w:t>
            </w:r>
          </w:p>
        </w:tc>
      </w:tr>
      <w:tr>
        <w:tc>
          <w:tcPr>
            <w:tcW w:w="2240" w:type="dxa"/>
          </w:tcPr>
          <w:p>
            <w:pPr/>
            <w:r>
              <w:t xml:space="preserve">Transparent flat pricing, all core modules included</w:t>
            </w:r>
          </w:p>
        </w:tc>
        <w:tc>
          <w:tcPr>
            <w:tcW w:w="1232" w:type="dxa"/>
          </w:tcPr>
          <w:p>
            <w:pPr/>
            <w:r>
              <w:t xml:space="preserve">Medium-high</w:t>
            </w:r>
          </w:p>
        </w:tc>
        <w:tc>
          <w:tcPr>
            <w:tcW w:w="1560" w:type="dxa"/>
          </w:tcPr>
          <w:p>
            <w:pPr/>
            <w:r>
              <w:t xml:space="preserve">Medium, easily copied</w:t>
            </w:r>
          </w:p>
        </w:tc>
        <w:tc>
          <w:tcPr>
            <w:tcW w:w="1560" w:type="dxa"/>
          </w:tcPr>
          <w:p>
            <w:pPr/>
            <w:r>
              <w:t xml:space="preserve">High</w:t>
            </w:r>
          </w:p>
        </w:tc>
        <w:tc>
          <w:tcPr>
            <w:tcW w:w="1384" w:type="dxa"/>
          </w:tcPr>
          <w:p>
            <w:pPr/>
            <w:r>
              <w:t xml:space="preserve">Low</w:t>
            </w:r>
          </w:p>
        </w:tc>
        <w:tc>
          <w:tcPr>
            <w:tcW w:w="1384" w:type="dxa"/>
          </w:tcPr>
          <w:p>
            <w:pPr/>
            <w:r>
              <w:t xml:space="preserve">Pricing interviews</w:t>
            </w:r>
          </w:p>
        </w:tc>
      </w:tr>
      <w:tr>
        <w:tc>
          <w:tcPr>
            <w:tcW w:w="2240" w:type="dxa"/>
          </w:tcPr>
          <w:p>
            <w:pPr/>
            <w:r>
              <w:t xml:space="preserve">Reliable attendance plus parent alerts</w:t>
            </w:r>
          </w:p>
        </w:tc>
        <w:tc>
          <w:tcPr>
            <w:tcW w:w="1232" w:type="dxa"/>
          </w:tcPr>
          <w:p>
            <w:pPr/>
            <w:r>
              <w:t xml:space="preserve">High</w:t>
            </w:r>
          </w:p>
        </w:tc>
        <w:tc>
          <w:tcPr>
            <w:tcW w:w="1560" w:type="dxa"/>
          </w:tcPr>
          <w:p>
            <w:pPr/>
            <w:r>
              <w:t xml:space="preserve">Low-medium</w:t>
            </w:r>
          </w:p>
        </w:tc>
        <w:tc>
          <w:tcPr>
            <w:tcW w:w="1560" w:type="dxa"/>
          </w:tcPr>
          <w:p>
            <w:pPr/>
            <w:r>
              <w:t xml:space="preserve">High (attendance exists; needs portal/notifications)</w:t>
            </w:r>
          </w:p>
        </w:tc>
        <w:tc>
          <w:tcPr>
            <w:tcW w:w="1384" w:type="dxa"/>
          </w:tcPr>
          <w:p>
            <w:pPr/>
            <w:r>
              <w:t xml:space="preserve">Medium</w:t>
            </w:r>
          </w:p>
        </w:tc>
        <w:tc>
          <w:tcPr>
            <w:tcW w:w="1384" w:type="dxa"/>
          </w:tcPr>
          <w:p>
            <w:pPr/>
            <w:r>
              <w:t xml:space="preserve">Pilot</w:t>
            </w:r>
          </w:p>
        </w:tc>
      </w:tr>
      <w:tr>
        <w:tc>
          <w:tcPr>
            <w:tcW w:w="2240" w:type="dxa"/>
          </w:tcPr>
          <w:p>
            <w:pPr/>
            <w:r>
              <w:t xml:space="preserve">Fee management with a plain-language ledger</w:t>
            </w:r>
          </w:p>
        </w:tc>
        <w:tc>
          <w:tcPr>
            <w:tcW w:w="1232" w:type="dxa"/>
          </w:tcPr>
          <w:p>
            <w:pPr/>
            <w:r>
              <w:t xml:space="preserve">High</w:t>
            </w:r>
          </w:p>
        </w:tc>
        <w:tc>
          <w:tcPr>
            <w:tcW w:w="1560" w:type="dxa"/>
          </w:tcPr>
          <w:p>
            <w:pPr/>
            <w:r>
              <w:t xml:space="preserve">Low alone, higher if paired with onboarding</w:t>
            </w:r>
          </w:p>
        </w:tc>
        <w:tc>
          <w:tcPr>
            <w:tcW w:w="1560" w:type="dxa"/>
          </w:tcPr>
          <w:p>
            <w:pPr/>
            <w:r>
              <w:t xml:space="preserve">Medium-low (money correctness)</w:t>
            </w:r>
          </w:p>
        </w:tc>
        <w:tc>
          <w:tcPr>
            <w:tcW w:w="1384" w:type="dxa"/>
          </w:tcPr>
          <w:p>
            <w:pPr/>
            <w:r>
              <w:t xml:space="preserve">Medium</w:t>
            </w:r>
          </w:p>
        </w:tc>
        <w:tc>
          <w:tcPr>
            <w:tcW w:w="1384" w:type="dxa"/>
          </w:tcPr>
          <w:p>
            <w:pPr/>
            <w:r>
              <w:t xml:space="preserve">Accountant interviews</w:t>
            </w:r>
          </w:p>
        </w:tc>
      </w:tr>
      <w:tr>
        <w:tc>
          <w:tcPr>
            <w:tcW w:w="2240" w:type="dxa"/>
          </w:tcPr>
          <w:p>
            <w:pPr/>
            <w:r>
              <w:t xml:space="preserve">Guaranteed data export, no lock-in</w:t>
            </w:r>
          </w:p>
        </w:tc>
        <w:tc>
          <w:tcPr>
            <w:tcW w:w="1232" w:type="dxa"/>
          </w:tcPr>
          <w:p>
            <w:pPr/>
            <w:r>
              <w:t xml:space="preserve">Medium</w:t>
            </w:r>
          </w:p>
        </w:tc>
        <w:tc>
          <w:tcPr>
            <w:tcW w:w="1560" w:type="dxa"/>
          </w:tcPr>
          <w:p>
            <w:pPr/>
            <w:r>
              <w:t xml:space="preserve">Medium</w:t>
            </w:r>
          </w:p>
        </w:tc>
        <w:tc>
          <w:tcPr>
            <w:tcW w:w="1560" w:type="dxa"/>
          </w:tcPr>
          <w:p>
            <w:pPr/>
            <w:r>
              <w:t xml:space="preserve">High</w:t>
            </w:r>
          </w:p>
        </w:tc>
        <w:tc>
          <w:tcPr>
            <w:tcW w:w="1384" w:type="dxa"/>
          </w:tcPr>
          <w:p>
            <w:pPr/>
            <w:r>
              <w:t xml:space="preserve">Low</w:t>
            </w:r>
          </w:p>
        </w:tc>
        <w:tc>
          <w:tcPr>
            <w:tcW w:w="1384" w:type="dxa"/>
          </w:tcPr>
          <w:p>
            <w:pPr/>
            <w:r>
              <w:t xml:space="preserve">Interviews</w:t>
            </w:r>
          </w:p>
        </w:tc>
      </w:tr>
      <w:tr>
        <w:tc>
          <w:tcPr>
            <w:tcW w:w="2240" w:type="dxa"/>
          </w:tcPr>
          <w:p>
            <w:pPr/>
            <w:r>
              <w:t xml:space="preserve">Electives/split-batch timetabling</w:t>
            </w:r>
          </w:p>
        </w:tc>
        <w:tc>
          <w:tcPr>
            <w:tcW w:w="1232" w:type="dxa"/>
          </w:tcPr>
          <w:p>
            <w:pPr/>
            <w:r>
              <w:t xml:space="preserve">Medium (class 11–12 schools)</w:t>
            </w:r>
          </w:p>
        </w:tc>
        <w:tc>
          <w:tcPr>
            <w:tcW w:w="1560" w:type="dxa"/>
          </w:tcPr>
          <w:p>
            <w:pPr/>
            <w:r>
              <w:t xml:space="preserve">Medium</w:t>
            </w:r>
          </w:p>
        </w:tc>
        <w:tc>
          <w:tcPr>
            <w:tcW w:w="1560" w:type="dxa"/>
          </w:tcPr>
          <w:p>
            <w:pPr/>
            <w:r>
              <w:t xml:space="preserve">Medium-low</w:t>
            </w:r>
          </w:p>
        </w:tc>
        <w:tc>
          <w:tcPr>
            <w:tcW w:w="1384" w:type="dxa"/>
          </w:tcPr>
          <w:p>
            <w:pPr/>
            <w:r>
              <w:t xml:space="preserve">Low-medium</w:t>
            </w:r>
          </w:p>
        </w:tc>
        <w:tc>
          <w:tcPr>
            <w:tcW w:w="1384" w:type="dxa"/>
          </w:tcPr>
          <w:p>
            <w:pPr/>
            <w:r>
              <w:t xml:space="preserve">Interview senior-secondary schools</w:t>
            </w:r>
          </w:p>
        </w:tc>
      </w:tr>
    </w:tbl>
    <w:p>
      <w:pPr>
        <w:pStyle w:val="Heading2"/>
      </w:pPr>
      <w:r>
        <w:t xml:space="preserve">10. Positioning and differentiation (hypothesis)</w:t>
      </w:r>
    </w:p>
    <w:p>
      <w:pPr/>
      <w:r>
        <w:rPr>
          <w:i/>
        </w:rPr>
        <w:t xml:space="preserve">For owners and principals of 300–1,500-student private schools who lose time to registers and spreadsheets, Vidya is the school operations system that gets you running in days with transparent pricing and records you can trust and take with you.</w:t>
      </w:r>
      <w:r>
        <w:t xml:space="preserve"> Durable advantages would come from implementation quality, data integrity, and trust, not from features that competitors can copy.</w:t>
      </w:r>
    </w:p>
    <w:p>
      <w:pPr>
        <w:pStyle w:val="Heading2"/>
      </w:pPr>
      <w:r>
        <w:t xml:space="preserve">11. ICPs, personas and jobs to be done</w:t>
      </w:r>
    </w:p>
    <w:tbl>
      <w:tblPr>
        <w:tblStyle w:val="TableGrid"/>
        <w:tblW w:w="0" w:type="auto"/>
        <w:tblLayout w:type="fixed"/>
        <w:tblLook w:val="04A0" w:firstRow="1" w:lastRow="0" w:firstColumn="0" w:lastColumn="0" w:noHBand="0" w:noVBand="1"/>
      </w:tblPr>
      <w:tblGrid>
        <w:gridCol w:w="2178"/>
        <w:gridCol w:w="2103"/>
        <w:gridCol w:w="2568"/>
        <w:gridCol w:w="2511"/>
      </w:tblGrid>
      <w:tr>
        <w:trPr>
          <w:tblHeader/>
        </w:trPr>
        <w:tc>
          <w:tcPr>
            <w:tcW w:w="2178" w:type="dxa"/>
            <w:shd w:val="clear" w:color="auto" w:fill="F2F2F2"/>
          </w:tcPr>
          <w:p>
            <w:pPr/>
            <w:r>
              <w:t xml:space="preserve">Segment</w:t>
            </w:r>
          </w:p>
        </w:tc>
        <w:tc>
          <w:tcPr>
            <w:tcW w:w="2103" w:type="dxa"/>
            <w:shd w:val="clear" w:color="auto" w:fill="F2F2F2"/>
          </w:tcPr>
          <w:p>
            <w:pPr/>
            <w:r>
              <w:t xml:space="preserve">Buyer</w:t>
            </w:r>
          </w:p>
        </w:tc>
        <w:tc>
          <w:tcPr>
            <w:tcW w:w="2568" w:type="dxa"/>
            <w:shd w:val="clear" w:color="auto" w:fill="F2F2F2"/>
          </w:tcPr>
          <w:p>
            <w:pPr/>
            <w:r>
              <w:t xml:space="preserve">Fit</w:t>
            </w:r>
          </w:p>
        </w:tc>
        <w:tc>
          <w:tcPr>
            <w:tcW w:w="2511" w:type="dxa"/>
            <w:shd w:val="clear" w:color="auto" w:fill="F2F2F2"/>
          </w:tcPr>
          <w:p>
            <w:pPr/>
            <w:r>
              <w:t xml:space="preserve">Notes</w:t>
            </w:r>
          </w:p>
        </w:tc>
      </w:tr>
      <w:tr>
        <w:tc>
          <w:tcPr>
            <w:tcW w:w="2178" w:type="dxa"/>
          </w:tcPr>
          <w:p>
            <w:pPr/>
            <w:r>
              <w:t xml:space="preserve">Small independent (under 300 students)</w:t>
            </w:r>
          </w:p>
        </w:tc>
        <w:tc>
          <w:tcPr>
            <w:tcW w:w="2103" w:type="dxa"/>
          </w:tcPr>
          <w:p>
            <w:pPr/>
            <w:r>
              <w:t xml:space="preserve">Owner/principal</w:t>
            </w:r>
          </w:p>
        </w:tc>
        <w:tc>
          <w:tcPr>
            <w:tcW w:w="2568" w:type="dxa"/>
          </w:tcPr>
          <w:p>
            <w:pPr/>
            <w:r>
              <w:t xml:space="preserve">Price-sensitive; many alternatives; support-heavy</w:t>
            </w:r>
          </w:p>
        </w:tc>
        <w:tc>
          <w:tcPr>
            <w:tcW w:w="2511" w:type="dxa"/>
          </w:tcPr>
          <w:p>
            <w:pPr/>
            <w:r>
              <w:t xml:space="preserve">Low ARPU; likely too costly to serve at launch</w:t>
            </w:r>
          </w:p>
        </w:tc>
      </w:tr>
      <w:tr>
        <w:tc>
          <w:tcPr>
            <w:tcW w:w="2178" w:type="dxa"/>
          </w:tcPr>
          <w:p>
            <w:pPr/>
            <w:r>
              <w:rPr>
                <w:b/>
              </w:rPr>
              <w:t xml:space="preserve">Medium private (300–1,500) — recommended beachhead</w:t>
            </w:r>
          </w:p>
        </w:tc>
        <w:tc>
          <w:tcPr>
            <w:tcW w:w="2103" w:type="dxa"/>
          </w:tcPr>
          <w:p>
            <w:pPr/>
            <w:r>
              <w:t xml:space="preserve">Owner + principal</w:t>
            </w:r>
          </w:p>
        </w:tc>
        <w:tc>
          <w:tcPr>
            <w:tcW w:w="2568" w:type="dxa"/>
          </w:tcPr>
          <w:p>
            <w:pPr/>
            <w:r>
              <w:t xml:space="preserve">Pain is real, budget exists, one site</w:t>
            </w:r>
          </w:p>
        </w:tc>
        <w:tc>
          <w:tcPr>
            <w:tcW w:w="2511" w:type="dxa"/>
          </w:tcPr>
          <w:p>
            <w:pPr/>
            <w:r>
              <w:t xml:space="preserve">Best balance; validate in 2–3 states and one board</w:t>
            </w:r>
          </w:p>
        </w:tc>
      </w:tr>
      <w:tr>
        <w:tc>
          <w:tcPr>
            <w:tcW w:w="2178" w:type="dxa"/>
          </w:tcPr>
          <w:p>
            <w:pPr/>
            <w:r>
              <w:t xml:space="preserve">Large single-campus</w:t>
            </w:r>
          </w:p>
        </w:tc>
        <w:tc>
          <w:tcPr>
            <w:tcW w:w="2103" w:type="dxa"/>
          </w:tcPr>
          <w:p>
            <w:pPr/>
            <w:r>
              <w:t xml:space="preserve">Trustees, IT</w:t>
            </w:r>
          </w:p>
        </w:tc>
        <w:tc>
          <w:tcPr>
            <w:tcW w:w="2568" w:type="dxa"/>
          </w:tcPr>
          <w:p>
            <w:pPr/>
            <w:r>
              <w:t xml:space="preserve">Needs deeper modules and integrations</w:t>
            </w:r>
          </w:p>
        </w:tc>
        <w:tc>
          <w:tcPr>
            <w:tcW w:w="2511" w:type="dxa"/>
          </w:tcPr>
          <w:p>
            <w:pPr/>
            <w:r>
              <w:t xml:space="preserve">Later</w:t>
            </w:r>
          </w:p>
        </w:tc>
      </w:tr>
      <w:tr>
        <w:tc>
          <w:tcPr>
            <w:tcW w:w="2178" w:type="dxa"/>
          </w:tcPr>
          <w:p>
            <w:pPr/>
            <w:r>
              <w:t xml:space="preserve">Multi-branch groups</w:t>
            </w:r>
          </w:p>
        </w:tc>
        <w:tc>
          <w:tcPr>
            <w:tcW w:w="2103" w:type="dxa"/>
          </w:tcPr>
          <w:p>
            <w:pPr/>
            <w:r>
              <w:t xml:space="preserve">Group admin</w:t>
            </w:r>
          </w:p>
        </w:tc>
        <w:tc>
          <w:tcPr>
            <w:tcW w:w="2568" w:type="dxa"/>
          </w:tcPr>
          <w:p>
            <w:pPr/>
            <w:r>
              <w:t xml:space="preserve">High value, long sales cycle</w:t>
            </w:r>
          </w:p>
        </w:tc>
        <w:tc>
          <w:tcPr>
            <w:tcW w:w="2511" w:type="dxa"/>
          </w:tcPr>
          <w:p>
            <w:pPr/>
            <w:r>
              <w:t xml:space="preserve">Phase 3; master-DB community model suits it</w:t>
            </w:r>
          </w:p>
        </w:tc>
      </w:tr>
      <w:tr>
        <w:tc>
          <w:tcPr>
            <w:tcW w:w="2178" w:type="dxa"/>
          </w:tcPr>
          <w:p>
            <w:pPr/>
            <w:r>
              <w:t xml:space="preserve">Low-IT schools</w:t>
            </w:r>
          </w:p>
        </w:tc>
        <w:tc>
          <w:tcPr>
            <w:tcW w:w="2103" w:type="dxa"/>
          </w:tcPr>
          <w:p>
            <w:pPr/>
            <w:r>
              <w:t xml:space="preserve">Admin</w:t>
            </w:r>
          </w:p>
        </w:tc>
        <w:tc>
          <w:tcPr>
            <w:tcW w:w="2568" w:type="dxa"/>
          </w:tcPr>
          <w:p>
            <w:pPr/>
            <w:r>
              <w:t xml:space="preserve">Large overlap with medium segment</w:t>
            </w:r>
          </w:p>
        </w:tc>
        <w:tc>
          <w:tcPr>
            <w:tcW w:w="2511" w:type="dxa"/>
          </w:tcPr>
          <w:p>
            <w:pPr/>
            <w:r>
              <w:t xml:space="preserve">Needs hosted onboarding support</w:t>
            </w:r>
          </w:p>
        </w:tc>
      </w:tr>
    </w:tbl>
    <w:p>
      <w:pPr/>
      <w:r>
        <w:t xml:space="preserve">Personas (buyer, administrator, daily operator, beneficiary): platform super/ops admin; school owner (buyer); principal/administrator; academic coordinator; accountant; teacher (daily operator); parent (beneficiary, notification recipient); student; school IT/operations staff. Teacher jobs: mark attendance in under a minute, see today's changes, avoid duplicate entry. Parent jobs: know attendance and fee status, receive trusted school notices.</w:t>
      </w:r>
    </w:p>
    <w:p>
      <w:pPr>
        <w:pStyle w:val="Heading2"/>
      </w:pPr>
      <w:r>
        <w:t xml:space="preserve">12. Goals, non-goals, principles</w:t>
      </w:r>
    </w:p>
    <w:p>
      <w:pPr>
        <w:pStyle w:val="ListParagraph"/>
        <w:numPr>
          <w:ilvl w:val="0"/>
          <w:numId w:val="5"/>
        </w:numPr>
      </w:pPr>
      <w:r>
        <w:rPr>
          <w:b/>
        </w:rPr>
        <w:t xml:space="preserve">Goals:</w:t>
      </w:r>
      <w:r>
        <w:t xml:space="preserve"> a paying pilot cohort; time to first attendance under one day; zero cross-tenant data incidents.</w:t>
      </w:r>
    </w:p>
    <w:p>
      <w:pPr>
        <w:pStyle w:val="ListParagraph"/>
        <w:numPr>
          <w:ilvl w:val="0"/>
          <w:numId w:val="5"/>
        </w:numPr>
      </w:pPr>
      <w:r>
        <w:rPr>
          <w:b/>
        </w:rPr>
        <w:t xml:space="preserve">Non-goals for now:</w:t>
      </w:r>
      <w:r>
        <w:t xml:space="preserve"> full accounting/ERP, payroll, transport/hostel/library, LMS, AI features, international expansion, government-school procurement.</w:t>
      </w:r>
    </w:p>
    <w:p>
      <w:pPr>
        <w:pStyle w:val="Heading2"/>
      </w:pPr>
      <w:r>
        <w:t xml:space="preserve">13. MVP scope and exclusions</w:t>
      </w:r>
    </w:p>
    <w:p>
      <w:pPr/>
      <w:r>
        <w:rPr>
          <w:b/>
        </w:rPr>
        <w:t xml:space="preserve">Phase 1 (commercially viable core):</w:t>
      </w:r>
      <w:r>
        <w:t xml:space="preserve"> onboarding and provisioning, school/branch profile, academic year and calendar, student and staff records with CSV import, class/section/subject/teacher assignment, attendance, timetable with fixes to limitations 2–4 and 7, school-level dashboard, audit, authorization hardening.</w:t>
      </w:r>
    </w:p>
    <w:p>
      <w:pPr/>
      <w:r>
        <w:rPr>
          <w:b/>
        </w:rPr>
        <w:t xml:space="preserve">Phase 2 (daily adoption):</w:t>
      </w:r>
      <w:r>
        <w:t xml:space="preserve"> fee management, parent/student portals, notifications, report cards for one board, export.</w:t>
      </w:r>
    </w:p>
    <w:p>
      <w:pPr/>
      <w:r>
        <w:rPr>
          <w:b/>
        </w:rPr>
        <w:t xml:space="preserve">Phase 3:</w:t>
      </w:r>
      <w:r>
        <w:t xml:space="preserve"> multi-branch analytics, electives/split batches, integrations, selected extra modules.</w:t>
      </w:r>
    </w:p>
    <w:p>
      <w:pPr/>
      <w:r>
        <w:rPr>
          <w:b/>
        </w:rPr>
        <w:t xml:space="preserve">Excluded from MVP:</w:t>
      </w:r>
      <w:r>
        <w:t xml:space="preserve"> admissions CRM, library, transport, hostel, payroll, inventory, bus tracking, alumni, AI assistants, public API.</w:t>
      </w:r>
    </w:p>
    <w:p>
      <w:pPr>
        <w:pStyle w:val="Heading2"/>
      </w:pPr>
      <w:r>
        <w:t xml:space="preserve">14. Functional requirements (priority set)</w:t>
      </w:r>
    </w:p>
    <w:p>
      <w:pPr/>
      <w:r>
        <w:t xml:space="preserve">Source of each: </w:t>
      </w:r>
      <w:r>
        <w:rPr>
          <w:b/>
        </w:rPr>
        <w:t xml:space="preserve">E</w:t>
      </w:r>
      <w:r>
        <w:t xml:space="preserve"> existing, </w:t>
      </w:r>
      <w:r>
        <w:rPr>
          <w:b/>
        </w:rPr>
        <w:t xml:space="preserve">N</w:t>
      </w:r>
      <w:r>
        <w:t xml:space="preserve"> new, </w:t>
      </w:r>
      <w:r>
        <w:rPr>
          <w:b/>
        </w:rPr>
        <w:t xml:space="preserve">X</w:t>
      </w:r>
      <w:r>
        <w:t xml:space="preserve"> enhancement. MoSCoW: M must, S should, C could, W won't now.</w:t>
      </w:r>
    </w:p>
    <w:tbl>
      <w:tblPr>
        <w:tblStyle w:val="TableGrid"/>
        <w:tblW w:w="0" w:type="auto"/>
        <w:tblLayout w:type="fixed"/>
        <w:tblLook w:val="04A0" w:firstRow="1" w:lastRow="0" w:firstColumn="0" w:lastColumn="0" w:noHBand="0" w:noVBand="1"/>
      </w:tblPr>
      <w:tblGrid>
        <w:gridCol w:w="1585"/>
        <w:gridCol w:w="4704"/>
        <w:gridCol w:w="994"/>
        <w:gridCol w:w="771"/>
        <w:gridCol w:w="1306"/>
      </w:tblGrid>
      <w:tr>
        <w:trPr>
          <w:tblHeader/>
        </w:trPr>
        <w:tc>
          <w:tcPr>
            <w:tcW w:w="1585" w:type="dxa"/>
            <w:shd w:val="clear" w:color="auto" w:fill="F2F2F2"/>
          </w:tcPr>
          <w:p>
            <w:pPr/>
            <w:r>
              <w:t xml:space="preserve">ID</w:t>
            </w:r>
          </w:p>
        </w:tc>
        <w:tc>
          <w:tcPr>
            <w:tcW w:w="4704" w:type="dxa"/>
            <w:shd w:val="clear" w:color="auto" w:fill="F2F2F2"/>
          </w:tcPr>
          <w:p>
            <w:pPr/>
            <w:r>
              <w:t xml:space="preserve">Requirement</w:t>
            </w:r>
          </w:p>
        </w:tc>
        <w:tc>
          <w:tcPr>
            <w:tcW w:w="994" w:type="dxa"/>
            <w:shd w:val="clear" w:color="auto" w:fill="F2F2F2"/>
          </w:tcPr>
          <w:p>
            <w:pPr/>
            <w:r>
              <w:t xml:space="preserve">Pri</w:t>
            </w:r>
          </w:p>
        </w:tc>
        <w:tc>
          <w:tcPr>
            <w:tcW w:w="771" w:type="dxa"/>
            <w:shd w:val="clear" w:color="auto" w:fill="F2F2F2"/>
          </w:tcPr>
          <w:p>
            <w:pPr/>
            <w:r>
              <w:t xml:space="preserve">Type</w:t>
            </w:r>
          </w:p>
        </w:tc>
        <w:tc>
          <w:tcPr>
            <w:tcW w:w="1306" w:type="dxa"/>
            <w:shd w:val="clear" w:color="auto" w:fill="F2F2F2"/>
          </w:tcPr>
          <w:p>
            <w:pPr/>
            <w:r>
              <w:t xml:space="preserve">Release</w:t>
            </w:r>
          </w:p>
        </w:tc>
      </w:tr>
      <w:tr>
        <w:tc>
          <w:tcPr>
            <w:tcW w:w="1585" w:type="dxa"/>
          </w:tcPr>
          <w:p>
            <w:pPr/>
            <w:r>
              <w:t xml:space="preserve">FR-PLT-001</w:t>
            </w:r>
          </w:p>
        </w:tc>
        <w:tc>
          <w:tcPr>
            <w:tcW w:w="4704" w:type="dxa"/>
          </w:tcPr>
          <w:p>
            <w:pPr/>
            <w:r>
              <w:t xml:space="preserve">Provision a school tenant database with verified Flyway migration, with recoverable failure states</w:t>
            </w:r>
          </w:p>
        </w:tc>
        <w:tc>
          <w:tcPr>
            <w:tcW w:w="994" w:type="dxa"/>
          </w:tcPr>
          <w:p>
            <w:pPr/>
            <w:r>
              <w:t xml:space="preserve">P0 / M</w:t>
            </w:r>
          </w:p>
        </w:tc>
        <w:tc>
          <w:tcPr>
            <w:tcW w:w="771" w:type="dxa"/>
          </w:tcPr>
          <w:p>
            <w:pPr/>
            <w:r>
              <w:t xml:space="preserve">E→X</w:t>
            </w:r>
          </w:p>
        </w:tc>
        <w:tc>
          <w:tcPr>
            <w:tcW w:w="1306" w:type="dxa"/>
          </w:tcPr>
          <w:p>
            <w:pPr/>
            <w:r>
              <w:t xml:space="preserve">MVP</w:t>
            </w:r>
          </w:p>
        </w:tc>
      </w:tr>
      <w:tr>
        <w:tc>
          <w:tcPr>
            <w:tcW w:w="1585" w:type="dxa"/>
          </w:tcPr>
          <w:p>
            <w:pPr/>
            <w:r>
              <w:t xml:space="preserve">FR-PLT-002</w:t>
            </w:r>
          </w:p>
        </w:tc>
        <w:tc>
          <w:tcPr>
            <w:tcW w:w="4704" w:type="dxa"/>
          </w:tcPr>
          <w:p>
            <w:pPr/>
            <w:r>
              <w:t xml:space="preserve">Every tenant request verifies the authenticated user's entitlement to that school; the tenant header alone is never trusted</w:t>
            </w:r>
          </w:p>
        </w:tc>
        <w:tc>
          <w:tcPr>
            <w:tcW w:w="994" w:type="dxa"/>
          </w:tcPr>
          <w:p>
            <w:pPr/>
            <w:r>
              <w:t xml:space="preserve">P0 / M</w:t>
            </w:r>
          </w:p>
        </w:tc>
        <w:tc>
          <w:tcPr>
            <w:tcW w:w="771" w:type="dxa"/>
          </w:tcPr>
          <w:p>
            <w:pPr/>
            <w:r>
              <w:t xml:space="preserve">X</w:t>
            </w:r>
          </w:p>
        </w:tc>
        <w:tc>
          <w:tcPr>
            <w:tcW w:w="1306" w:type="dxa"/>
          </w:tcPr>
          <w:p>
            <w:pPr/>
            <w:r>
              <w:t xml:space="preserve">MVP</w:t>
            </w:r>
          </w:p>
        </w:tc>
      </w:tr>
      <w:tr>
        <w:tc>
          <w:tcPr>
            <w:tcW w:w="1585" w:type="dxa"/>
          </w:tcPr>
          <w:p>
            <w:pPr/>
            <w:r>
              <w:t xml:space="preserve">FR-PLT-003</w:t>
            </w:r>
          </w:p>
        </w:tc>
        <w:tc>
          <w:tcPr>
            <w:tcW w:w="4704" w:type="dxa"/>
          </w:tcPr>
          <w:p>
            <w:pPr/>
            <w:r>
              <w:t xml:space="preserve">Subscription state gates features and suspends writes on lapse without deleting data</w:t>
            </w:r>
          </w:p>
        </w:tc>
        <w:tc>
          <w:tcPr>
            <w:tcW w:w="994" w:type="dxa"/>
          </w:tcPr>
          <w:p>
            <w:pPr/>
            <w:r>
              <w:t xml:space="preserve">P0 / M</w:t>
            </w:r>
          </w:p>
        </w:tc>
        <w:tc>
          <w:tcPr>
            <w:tcW w:w="771" w:type="dxa"/>
          </w:tcPr>
          <w:p>
            <w:pPr/>
            <w:r>
              <w:t xml:space="preserve">E→X</w:t>
            </w:r>
          </w:p>
        </w:tc>
        <w:tc>
          <w:tcPr>
            <w:tcW w:w="1306" w:type="dxa"/>
          </w:tcPr>
          <w:p>
            <w:pPr/>
            <w:r>
              <w:t xml:space="preserve">MVP</w:t>
            </w:r>
          </w:p>
        </w:tc>
      </w:tr>
      <w:tr>
        <w:tc>
          <w:tcPr>
            <w:tcW w:w="1585" w:type="dxa"/>
          </w:tcPr>
          <w:p>
            <w:pPr/>
            <w:r>
              <w:t xml:space="preserve">FR-ADM-001</w:t>
            </w:r>
          </w:p>
        </w:tc>
        <w:tc>
          <w:tcPr>
            <w:tcW w:w="4704" w:type="dxa"/>
          </w:tcPr>
          <w:p>
            <w:pPr/>
            <w:r>
              <w:t xml:space="preserve">Bulk import of students/staff from CSV/XLSX with row-level validation, dry run and error report</w:t>
            </w:r>
          </w:p>
        </w:tc>
        <w:tc>
          <w:tcPr>
            <w:tcW w:w="994" w:type="dxa"/>
          </w:tcPr>
          <w:p>
            <w:pPr/>
            <w:r>
              <w:t xml:space="preserve">P0 / M</w:t>
            </w:r>
          </w:p>
        </w:tc>
        <w:tc>
          <w:tcPr>
            <w:tcW w:w="771" w:type="dxa"/>
          </w:tcPr>
          <w:p>
            <w:pPr/>
            <w:r>
              <w:t xml:space="preserve">N</w:t>
            </w:r>
          </w:p>
        </w:tc>
        <w:tc>
          <w:tcPr>
            <w:tcW w:w="1306" w:type="dxa"/>
          </w:tcPr>
          <w:p>
            <w:pPr/>
            <w:r>
              <w:t xml:space="preserve">MVP</w:t>
            </w:r>
          </w:p>
        </w:tc>
      </w:tr>
      <w:tr>
        <w:tc>
          <w:tcPr>
            <w:tcW w:w="1585" w:type="dxa"/>
          </w:tcPr>
          <w:p>
            <w:pPr/>
            <w:r>
              <w:t xml:space="preserve">FR-ADM-002</w:t>
            </w:r>
          </w:p>
        </w:tc>
        <w:tc>
          <w:tcPr>
            <w:tcW w:w="4704" w:type="dxa"/>
          </w:tcPr>
          <w:p>
            <w:pPr/>
            <w:r>
              <w:t xml:space="preserve">Full tenant data export in open formats on request</w:t>
            </w:r>
          </w:p>
        </w:tc>
        <w:tc>
          <w:tcPr>
            <w:tcW w:w="994" w:type="dxa"/>
          </w:tcPr>
          <w:p>
            <w:pPr/>
            <w:r>
              <w:t xml:space="preserve">P1 / S</w:t>
            </w:r>
          </w:p>
        </w:tc>
        <w:tc>
          <w:tcPr>
            <w:tcW w:w="771" w:type="dxa"/>
          </w:tcPr>
          <w:p>
            <w:pPr/>
            <w:r>
              <w:t xml:space="preserve">N</w:t>
            </w:r>
          </w:p>
        </w:tc>
        <w:tc>
          <w:tcPr>
            <w:tcW w:w="1306" w:type="dxa"/>
          </w:tcPr>
          <w:p>
            <w:pPr/>
            <w:r>
              <w:t xml:space="preserve">MVP+</w:t>
            </w:r>
          </w:p>
        </w:tc>
      </w:tr>
      <w:tr>
        <w:tc>
          <w:tcPr>
            <w:tcW w:w="1585" w:type="dxa"/>
          </w:tcPr>
          <w:p>
            <w:pPr/>
            <w:r>
              <w:t xml:space="preserve">FR-ACA-001</w:t>
            </w:r>
          </w:p>
        </w:tc>
        <w:tc>
          <w:tcPr>
            <w:tcW w:w="4704" w:type="dxa"/>
          </w:tcPr>
          <w:p>
            <w:pPr/>
            <w:r>
              <w:t xml:space="preserve">Timetable bulk replace preserves entry identity where slots are unchanged</w:t>
            </w:r>
          </w:p>
        </w:tc>
        <w:tc>
          <w:tcPr>
            <w:tcW w:w="994" w:type="dxa"/>
          </w:tcPr>
          <w:p>
            <w:pPr/>
            <w:r>
              <w:t xml:space="preserve">P1 / M</w:t>
            </w:r>
          </w:p>
        </w:tc>
        <w:tc>
          <w:tcPr>
            <w:tcW w:w="771" w:type="dxa"/>
          </w:tcPr>
          <w:p>
            <w:pPr/>
            <w:r>
              <w:t xml:space="preserve">X</w:t>
            </w:r>
          </w:p>
        </w:tc>
        <w:tc>
          <w:tcPr>
            <w:tcW w:w="1306" w:type="dxa"/>
          </w:tcPr>
          <w:p>
            <w:pPr/>
            <w:r>
              <w:t xml:space="preserve">MVP</w:t>
            </w:r>
          </w:p>
        </w:tc>
      </w:tr>
      <w:tr>
        <w:tc>
          <w:tcPr>
            <w:tcW w:w="1585" w:type="dxa"/>
          </w:tcPr>
          <w:p>
            <w:pPr/>
            <w:r>
              <w:t xml:space="preserve">FR-ACA-002</w:t>
            </w:r>
          </w:p>
        </w:tc>
        <w:tc>
          <w:tcPr>
            <w:tcW w:w="4704" w:type="dxa"/>
          </w:tcPr>
          <w:p>
            <w:pPr/>
            <w:r>
              <w:t xml:space="preserve">Substitutions reference timetable entries by a stable identifier</w:t>
            </w:r>
          </w:p>
        </w:tc>
        <w:tc>
          <w:tcPr>
            <w:tcW w:w="994" w:type="dxa"/>
          </w:tcPr>
          <w:p>
            <w:pPr/>
            <w:r>
              <w:t xml:space="preserve">P1 / M</w:t>
            </w:r>
          </w:p>
        </w:tc>
        <w:tc>
          <w:tcPr>
            <w:tcW w:w="771" w:type="dxa"/>
          </w:tcPr>
          <w:p>
            <w:pPr/>
            <w:r>
              <w:t xml:space="preserve">X</w:t>
            </w:r>
          </w:p>
        </w:tc>
        <w:tc>
          <w:tcPr>
            <w:tcW w:w="1306" w:type="dxa"/>
          </w:tcPr>
          <w:p>
            <w:pPr/>
            <w:r>
              <w:t xml:space="preserve">MVP</w:t>
            </w:r>
          </w:p>
        </w:tc>
      </w:tr>
      <w:tr>
        <w:tc>
          <w:tcPr>
            <w:tcW w:w="1585" w:type="dxa"/>
          </w:tcPr>
          <w:p>
            <w:pPr/>
            <w:r>
              <w:t xml:space="preserve">FR-ACA-003</w:t>
            </w:r>
          </w:p>
        </w:tc>
        <w:tc>
          <w:tcPr>
            <w:tcW w:w="4704" w:type="dxa"/>
          </w:tcPr>
          <w:p>
            <w:pPr/>
            <w:r>
              <w:t xml:space="preserve">Timetable views mark holidays and non-working days</w:t>
            </w:r>
          </w:p>
        </w:tc>
        <w:tc>
          <w:tcPr>
            <w:tcW w:w="994" w:type="dxa"/>
          </w:tcPr>
          <w:p>
            <w:pPr/>
            <w:r>
              <w:t xml:space="preserve">P1 / S</w:t>
            </w:r>
          </w:p>
        </w:tc>
        <w:tc>
          <w:tcPr>
            <w:tcW w:w="771" w:type="dxa"/>
          </w:tcPr>
          <w:p>
            <w:pPr/>
            <w:r>
              <w:t xml:space="preserve">X</w:t>
            </w:r>
          </w:p>
        </w:tc>
        <w:tc>
          <w:tcPr>
            <w:tcW w:w="1306" w:type="dxa"/>
          </w:tcPr>
          <w:p>
            <w:pPr/>
            <w:r>
              <w:t xml:space="preserve">MVP</w:t>
            </w:r>
          </w:p>
        </w:tc>
      </w:tr>
      <w:tr>
        <w:tc>
          <w:tcPr>
            <w:tcW w:w="1585" w:type="dxa"/>
          </w:tcPr>
          <w:p>
            <w:pPr/>
            <w:r>
              <w:t xml:space="preserve">FR-ACA-004</w:t>
            </w:r>
          </w:p>
        </w:tc>
        <w:tc>
          <w:tcPr>
            <w:tcW w:w="4704" w:type="dxa"/>
          </w:tcPr>
          <w:p>
            <w:pPr/>
            <w:r>
              <w:t xml:space="preserve">Elective and split-batch slots (multiple subject/teacher/room per slot)</w:t>
            </w:r>
          </w:p>
        </w:tc>
        <w:tc>
          <w:tcPr>
            <w:tcW w:w="994" w:type="dxa"/>
          </w:tcPr>
          <w:p>
            <w:pPr/>
            <w:r>
              <w:t xml:space="preserve">P1 / S</w:t>
            </w:r>
          </w:p>
        </w:tc>
        <w:tc>
          <w:tcPr>
            <w:tcW w:w="771" w:type="dxa"/>
          </w:tcPr>
          <w:p>
            <w:pPr/>
            <w:r>
              <w:t xml:space="preserve">N</w:t>
            </w:r>
          </w:p>
        </w:tc>
        <w:tc>
          <w:tcPr>
            <w:tcW w:w="1306" w:type="dxa"/>
          </w:tcPr>
          <w:p>
            <w:pPr/>
            <w:r>
              <w:t xml:space="preserve">Phase 3 (earlier if beachhead includes classes 11–12)</w:t>
            </w:r>
          </w:p>
        </w:tc>
      </w:tr>
      <w:tr>
        <w:tc>
          <w:tcPr>
            <w:tcW w:w="1585" w:type="dxa"/>
          </w:tcPr>
          <w:p>
            <w:pPr/>
            <w:r>
              <w:t xml:space="preserve">FR-ATT-001</w:t>
            </w:r>
          </w:p>
        </w:tc>
        <w:tc>
          <w:tcPr>
            <w:tcW w:w="4704" w:type="dxa"/>
          </w:tcPr>
          <w:p>
            <w:pPr/>
            <w:r>
              <w:t xml:space="preserve">Bulk daily attendance; non-working-day override requires authorized role and non-blank reason</w:t>
            </w:r>
          </w:p>
        </w:tc>
        <w:tc>
          <w:tcPr>
            <w:tcW w:w="994" w:type="dxa"/>
          </w:tcPr>
          <w:p>
            <w:pPr/>
            <w:r>
              <w:t xml:space="preserve">P0 / M</w:t>
            </w:r>
          </w:p>
        </w:tc>
        <w:tc>
          <w:tcPr>
            <w:tcW w:w="771" w:type="dxa"/>
          </w:tcPr>
          <w:p>
            <w:pPr/>
            <w:r>
              <w:t xml:space="preserve">E</w:t>
            </w:r>
          </w:p>
        </w:tc>
        <w:tc>
          <w:tcPr>
            <w:tcW w:w="1306" w:type="dxa"/>
          </w:tcPr>
          <w:p>
            <w:pPr/>
            <w:r>
              <w:t xml:space="preserve">MVP</w:t>
            </w:r>
          </w:p>
        </w:tc>
      </w:tr>
      <w:tr>
        <w:tc>
          <w:tcPr>
            <w:tcW w:w="1585" w:type="dxa"/>
          </w:tcPr>
          <w:p>
            <w:pPr/>
            <w:r>
              <w:t xml:space="preserve">FR-ATT-002</w:t>
            </w:r>
          </w:p>
        </w:tc>
        <w:tc>
          <w:tcPr>
            <w:tcW w:w="4704" w:type="dxa"/>
          </w:tcPr>
          <w:p>
            <w:pPr/>
            <w:r>
              <w:t xml:space="preserve">Fifth-Saturday rule evaluated correctly for configured patterns</w:t>
            </w:r>
          </w:p>
        </w:tc>
        <w:tc>
          <w:tcPr>
            <w:tcW w:w="994" w:type="dxa"/>
          </w:tcPr>
          <w:p>
            <w:pPr/>
            <w:r>
              <w:t xml:space="preserve">P1 / M</w:t>
            </w:r>
          </w:p>
        </w:tc>
        <w:tc>
          <w:tcPr>
            <w:tcW w:w="771" w:type="dxa"/>
          </w:tcPr>
          <w:p>
            <w:pPr/>
            <w:r>
              <w:t xml:space="preserve">X</w:t>
            </w:r>
          </w:p>
        </w:tc>
        <w:tc>
          <w:tcPr>
            <w:tcW w:w="1306" w:type="dxa"/>
          </w:tcPr>
          <w:p>
            <w:pPr/>
            <w:r>
              <w:t xml:space="preserve">MVP</w:t>
            </w:r>
          </w:p>
        </w:tc>
      </w:tr>
      <w:tr>
        <w:tc>
          <w:tcPr>
            <w:tcW w:w="1585" w:type="dxa"/>
          </w:tcPr>
          <w:p>
            <w:pPr/>
            <w:r>
              <w:t xml:space="preserve">FR-ATT-003</w:t>
            </w:r>
          </w:p>
        </w:tc>
        <w:tc>
          <w:tcPr>
            <w:tcW w:w="4704" w:type="dxa"/>
          </w:tcPr>
          <w:p>
            <w:pPr/>
            <w:r>
              <w:t xml:space="preserve">Attendance corrections keep an audit trail (who, when, before/after)</w:t>
            </w:r>
          </w:p>
        </w:tc>
        <w:tc>
          <w:tcPr>
            <w:tcW w:w="994" w:type="dxa"/>
          </w:tcPr>
          <w:p>
            <w:pPr/>
            <w:r>
              <w:t xml:space="preserve">P0 / M</w:t>
            </w:r>
          </w:p>
        </w:tc>
        <w:tc>
          <w:tcPr>
            <w:tcW w:w="771" w:type="dxa"/>
          </w:tcPr>
          <w:p>
            <w:pPr/>
            <w:r>
              <w:t xml:space="preserve">X</w:t>
            </w:r>
          </w:p>
        </w:tc>
        <w:tc>
          <w:tcPr>
            <w:tcW w:w="1306" w:type="dxa"/>
          </w:tcPr>
          <w:p>
            <w:pPr/>
            <w:r>
              <w:t xml:space="preserve">MVP</w:t>
            </w:r>
          </w:p>
        </w:tc>
      </w:tr>
      <w:tr>
        <w:tc>
          <w:tcPr>
            <w:tcW w:w="1585" w:type="dxa"/>
          </w:tcPr>
          <w:p>
            <w:pPr/>
            <w:r>
              <w:t xml:space="preserve">FR-FEE-001</w:t>
            </w:r>
          </w:p>
        </w:tc>
        <w:tc>
          <w:tcPr>
            <w:tcW w:w="4704" w:type="dxa"/>
          </w:tcPr>
          <w:p>
            <w:pPr/>
            <w:r>
              <w:t xml:space="preserve">Configurable fee heads, class-level fees, installments, concessions, receipts, outstanding balance</w:t>
            </w:r>
          </w:p>
        </w:tc>
        <w:tc>
          <w:tcPr>
            <w:tcW w:w="994" w:type="dxa"/>
          </w:tcPr>
          <w:p>
            <w:pPr/>
            <w:r>
              <w:t xml:space="preserve">P0 / M</w:t>
            </w:r>
          </w:p>
        </w:tc>
        <w:tc>
          <w:tcPr>
            <w:tcW w:w="771" w:type="dxa"/>
          </w:tcPr>
          <w:p>
            <w:pPr/>
            <w:r>
              <w:t xml:space="preserve">N</w:t>
            </w:r>
          </w:p>
        </w:tc>
        <w:tc>
          <w:tcPr>
            <w:tcW w:w="1306" w:type="dxa"/>
          </w:tcPr>
          <w:p>
            <w:pPr/>
            <w:r>
              <w:t xml:space="preserve">Phase 2</w:t>
            </w:r>
          </w:p>
        </w:tc>
      </w:tr>
      <w:tr>
        <w:tc>
          <w:tcPr>
            <w:tcW w:w="1585" w:type="dxa"/>
          </w:tcPr>
          <w:p>
            <w:pPr/>
            <w:r>
              <w:t xml:space="preserve">FR-FEE-002</w:t>
            </w:r>
          </w:p>
        </w:tc>
        <w:tc>
          <w:tcPr>
            <w:tcW w:w="4704" w:type="dxa"/>
          </w:tcPr>
          <w:p>
            <w:pPr/>
            <w:r>
              <w:t xml:space="preserve">Refunds/reversals as new ledger entries, never edits of past entries</w:t>
            </w:r>
          </w:p>
        </w:tc>
        <w:tc>
          <w:tcPr>
            <w:tcW w:w="994" w:type="dxa"/>
          </w:tcPr>
          <w:p>
            <w:pPr/>
            <w:r>
              <w:t xml:space="preserve">P0 / M</w:t>
            </w:r>
          </w:p>
        </w:tc>
        <w:tc>
          <w:tcPr>
            <w:tcW w:w="771" w:type="dxa"/>
          </w:tcPr>
          <w:p>
            <w:pPr/>
            <w:r>
              <w:t xml:space="preserve">N</w:t>
            </w:r>
          </w:p>
        </w:tc>
        <w:tc>
          <w:tcPr>
            <w:tcW w:w="1306" w:type="dxa"/>
          </w:tcPr>
          <w:p>
            <w:pPr/>
            <w:r>
              <w:t xml:space="preserve">Phase 2</w:t>
            </w:r>
          </w:p>
        </w:tc>
      </w:tr>
      <w:tr>
        <w:tc>
          <w:tcPr>
            <w:tcW w:w="1585" w:type="dxa"/>
          </w:tcPr>
          <w:p>
            <w:pPr/>
            <w:r>
              <w:t xml:space="preserve">FR-FEE-003</w:t>
            </w:r>
          </w:p>
        </w:tc>
        <w:tc>
          <w:tcPr>
            <w:tcW w:w="4704" w:type="dxa"/>
          </w:tcPr>
          <w:p>
            <w:pPr/>
            <w:r>
              <w:t xml:space="preserve">Online payment with idempotent webhook handling and daily reconciliation</w:t>
            </w:r>
          </w:p>
        </w:tc>
        <w:tc>
          <w:tcPr>
            <w:tcW w:w="994" w:type="dxa"/>
          </w:tcPr>
          <w:p>
            <w:pPr/>
            <w:r>
              <w:t xml:space="preserve">P1 / S</w:t>
            </w:r>
          </w:p>
        </w:tc>
        <w:tc>
          <w:tcPr>
            <w:tcW w:w="771" w:type="dxa"/>
          </w:tcPr>
          <w:p>
            <w:pPr/>
            <w:r>
              <w:t xml:space="preserve">N</w:t>
            </w:r>
          </w:p>
        </w:tc>
        <w:tc>
          <w:tcPr>
            <w:tcW w:w="1306" w:type="dxa"/>
          </w:tcPr>
          <w:p>
            <w:pPr/>
            <w:r>
              <w:t xml:space="preserve">Phase 2</w:t>
            </w:r>
          </w:p>
        </w:tc>
      </w:tr>
      <w:tr>
        <w:tc>
          <w:tcPr>
            <w:tcW w:w="1585" w:type="dxa"/>
          </w:tcPr>
          <w:p>
            <w:pPr/>
            <w:r>
              <w:t xml:space="preserve">FR-POR-001</w:t>
            </w:r>
          </w:p>
        </w:tc>
        <w:tc>
          <w:tcPr>
            <w:tcW w:w="4704" w:type="dxa"/>
          </w:tcPr>
          <w:p>
            <w:pPr/>
            <w:r>
              <w:t xml:space="preserve">Parent portal showing only that parent's linked children, authorization separate from staff roles</w:t>
            </w:r>
          </w:p>
        </w:tc>
        <w:tc>
          <w:tcPr>
            <w:tcW w:w="994" w:type="dxa"/>
          </w:tcPr>
          <w:p>
            <w:pPr/>
            <w:r>
              <w:t xml:space="preserve">P0 / M</w:t>
            </w:r>
          </w:p>
        </w:tc>
        <w:tc>
          <w:tcPr>
            <w:tcW w:w="771" w:type="dxa"/>
          </w:tcPr>
          <w:p>
            <w:pPr/>
            <w:r>
              <w:t xml:space="preserve">N</w:t>
            </w:r>
          </w:p>
        </w:tc>
        <w:tc>
          <w:tcPr>
            <w:tcW w:w="1306" w:type="dxa"/>
          </w:tcPr>
          <w:p>
            <w:pPr/>
            <w:r>
              <w:t xml:space="preserve">Phase 2</w:t>
            </w:r>
          </w:p>
        </w:tc>
      </w:tr>
      <w:tr>
        <w:tc>
          <w:tcPr>
            <w:tcW w:w="1585" w:type="dxa"/>
          </w:tcPr>
          <w:p>
            <w:pPr/>
            <w:r>
              <w:t xml:space="preserve">FR-NOT-001</w:t>
            </w:r>
          </w:p>
        </w:tc>
        <w:tc>
          <w:tcPr>
            <w:tcW w:w="4704" w:type="dxa"/>
          </w:tcPr>
          <w:p>
            <w:pPr/>
            <w:r>
              <w:t xml:space="preserve">Attendance and fee notifications with delivery status, retry, per-guardian preferences</w:t>
            </w:r>
          </w:p>
        </w:tc>
        <w:tc>
          <w:tcPr>
            <w:tcW w:w="994" w:type="dxa"/>
          </w:tcPr>
          <w:p>
            <w:pPr/>
            <w:r>
              <w:t xml:space="preserve">P1 / M</w:t>
            </w:r>
          </w:p>
        </w:tc>
        <w:tc>
          <w:tcPr>
            <w:tcW w:w="771" w:type="dxa"/>
          </w:tcPr>
          <w:p>
            <w:pPr/>
            <w:r>
              <w:t xml:space="preserve">N</w:t>
            </w:r>
          </w:p>
        </w:tc>
        <w:tc>
          <w:tcPr>
            <w:tcW w:w="1306" w:type="dxa"/>
          </w:tcPr>
          <w:p>
            <w:pPr/>
            <w:r>
              <w:t xml:space="preserve">Phase 2</w:t>
            </w:r>
          </w:p>
        </w:tc>
      </w:tr>
      <w:tr>
        <w:tc>
          <w:tcPr>
            <w:tcW w:w="1585" w:type="dxa"/>
          </w:tcPr>
          <w:p>
            <w:pPr/>
            <w:r>
              <w:t xml:space="preserve">FR-EXM-001</w:t>
            </w:r>
          </w:p>
        </w:tc>
        <w:tc>
          <w:tcPr>
            <w:tcW w:w="4704" w:type="dxa"/>
          </w:tcPr>
          <w:p>
            <w:pPr/>
            <w:r>
              <w:t xml:space="preserve">Marks entry and report cards for one chosen board's scheme</w:t>
            </w:r>
          </w:p>
        </w:tc>
        <w:tc>
          <w:tcPr>
            <w:tcW w:w="994" w:type="dxa"/>
          </w:tcPr>
          <w:p>
            <w:pPr/>
            <w:r>
              <w:t xml:space="preserve">P1 / S</w:t>
            </w:r>
          </w:p>
        </w:tc>
        <w:tc>
          <w:tcPr>
            <w:tcW w:w="771" w:type="dxa"/>
          </w:tcPr>
          <w:p>
            <w:pPr/>
            <w:r>
              <w:t xml:space="preserve">N</w:t>
            </w:r>
          </w:p>
        </w:tc>
        <w:tc>
          <w:tcPr>
            <w:tcW w:w="1306" w:type="dxa"/>
          </w:tcPr>
          <w:p>
            <w:pPr/>
            <w:r>
              <w:t xml:space="preserve">Phase 2</w:t>
            </w:r>
          </w:p>
        </w:tc>
      </w:tr>
      <w:tr>
        <w:tc>
          <w:tcPr>
            <w:tcW w:w="1585" w:type="dxa"/>
          </w:tcPr>
          <w:p>
            <w:pPr/>
            <w:r>
              <w:t xml:space="preserve">FR-RPT-001</w:t>
            </w:r>
          </w:p>
        </w:tc>
        <w:tc>
          <w:tcPr>
            <w:tcW w:w="4704" w:type="dxa"/>
          </w:tcPr>
          <w:p>
            <w:pPr/>
            <w:r>
              <w:t xml:space="preserve">Principal dashboard: today's attendance, absent teachers, substitutions</w:t>
            </w:r>
          </w:p>
        </w:tc>
        <w:tc>
          <w:tcPr>
            <w:tcW w:w="994" w:type="dxa"/>
          </w:tcPr>
          <w:p>
            <w:pPr/>
            <w:r>
              <w:t xml:space="preserve">P1 / S</w:t>
            </w:r>
          </w:p>
        </w:tc>
        <w:tc>
          <w:tcPr>
            <w:tcW w:w="771" w:type="dxa"/>
          </w:tcPr>
          <w:p>
            <w:pPr/>
            <w:r>
              <w:t xml:space="preserve">N</w:t>
            </w:r>
          </w:p>
        </w:tc>
        <w:tc>
          <w:tcPr>
            <w:tcW w:w="1306" w:type="dxa"/>
          </w:tcPr>
          <w:p>
            <w:pPr/>
            <w:r>
              <w:t xml:space="preserve">MVP</w:t>
            </w:r>
          </w:p>
        </w:tc>
      </w:tr>
    </w:tbl>
    <w:p>
      <w:pPr>
        <w:pStyle w:val="Heading3"/>
      </w:pPr>
      <w:r>
        <w:t xml:space="preserve">14.1 Critical acceptance criteria (Given/When/Then)</w:t>
      </w:r>
    </w:p>
    <w:p>
      <w:pPr>
        <w:pStyle w:val="ListParagraph"/>
        <w:numPr>
          <w:ilvl w:val="0"/>
          <w:numId w:val="6"/>
        </w:numPr>
      </w:pPr>
      <w:r>
        <w:rPr>
          <w:b/>
        </w:rPr>
        <w:t xml:space="preserve">FR-PLT-002.</w:t>
      </w:r>
      <w:r>
        <w:t xml:space="preserve"> Given a user authenticated for School A, when they send a request with School B's tenant identifier, then the system rejects it with an authorization error and writes an audit entry, and no School B data is read or written.</w:t>
      </w:r>
    </w:p>
    <w:p>
      <w:pPr>
        <w:pStyle w:val="ListParagraph"/>
        <w:numPr>
          <w:ilvl w:val="0"/>
          <w:numId w:val="6"/>
        </w:numPr>
      </w:pPr>
      <w:r>
        <w:rPr>
          <w:b/>
        </w:rPr>
        <w:t xml:space="preserve">FR-ATT-001.</w:t>
      </w:r>
      <w:r>
        <w:t xml:space="preserve"> Given a school Sunday that is not a working day, when a teacher attempts to mark attendance, then it is rejected; when a school admin submits with a non-blank reason, then it is accepted and the reason is stored.</w:t>
      </w:r>
    </w:p>
    <w:p>
      <w:pPr>
        <w:pStyle w:val="ListParagraph"/>
        <w:numPr>
          <w:ilvl w:val="0"/>
          <w:numId w:val="6"/>
        </w:numPr>
      </w:pPr>
      <w:r>
        <w:rPr>
          <w:b/>
        </w:rPr>
        <w:t xml:space="preserve">FR-ATT-002.</w:t>
      </w:r>
      <w:r>
        <w:t xml:space="preserve"> Given a month with five Saturdays and a pattern that works only on specific Saturdays, when the fifth Saturday is evaluated, then the result matches the configured rule in the school's timezone.</w:t>
      </w:r>
    </w:p>
    <w:p>
      <w:pPr>
        <w:pStyle w:val="ListParagraph"/>
        <w:numPr>
          <w:ilvl w:val="0"/>
          <w:numId w:val="6"/>
        </w:numPr>
      </w:pPr>
      <w:r>
        <w:rPr>
          <w:b/>
        </w:rPr>
        <w:t xml:space="preserve">FR-FEE-002.</w:t>
      </w:r>
      <w:r>
        <w:t xml:space="preserve"> Given a paid receipt, when a refund is recorded, then the original receipt is unchanged, a reversing entry is created, and the outstanding balance recomputes.</w:t>
      </w:r>
    </w:p>
    <w:p>
      <w:pPr>
        <w:pStyle w:val="ListParagraph"/>
        <w:numPr>
          <w:ilvl w:val="0"/>
          <w:numId w:val="6"/>
        </w:numPr>
      </w:pPr>
      <w:r>
        <w:rPr>
          <w:b/>
        </w:rPr>
        <w:t xml:space="preserve">FR-POR-001.</w:t>
      </w:r>
      <w:r>
        <w:t xml:space="preserve"> Given a parent linked to Student X only, when they request Student Y's data, then access is denied regardless of tenant.</w:t>
      </w:r>
    </w:p>
    <w:p>
      <w:pPr>
        <w:pStyle w:val="ListParagraph"/>
        <w:numPr>
          <w:ilvl w:val="0"/>
          <w:numId w:val="6"/>
        </w:numPr>
      </w:pPr>
      <w:r>
        <w:rPr>
          <w:b/>
        </w:rPr>
        <w:t xml:space="preserve">FR-ACA-001.</w:t>
      </w:r>
      <w:r>
        <w:t xml:space="preserve"> Given a timetable with unchanged slots, when a bulk replace is applied, then unchanged slots keep identifiers and existing substitutions remain valid.</w:t>
      </w:r>
    </w:p>
    <w:p>
      <w:pPr>
        <w:pStyle w:val="Heading2"/>
      </w:pPr>
      <w:r>
        <w:t xml:space="preserve">15. Critical workflows</w:t>
      </w:r>
    </w:p>
    <w:p>
      <w:pPr>
        <w:pStyle w:val="ListParagraph"/>
        <w:numPr>
          <w:ilvl w:val="0"/>
          <w:numId w:val="7"/>
        </w:numPr>
      </w:pPr>
      <w:r>
        <w:t xml:space="preserve">School onboarding: registration → verification → plan selection → tenant provisioning → import → first attendance.</w:t>
      </w:r>
    </w:p>
    <w:p>
      <w:pPr>
        <w:pStyle w:val="ListParagraph"/>
        <w:numPr>
          <w:ilvl w:val="0"/>
          <w:numId w:val="7"/>
        </w:numPr>
      </w:pPr>
      <w:r>
        <w:t xml:space="preserve">Daily: teacher marks attendance → absent guardians notified (Phase 2) → principal views dashboard.</w:t>
      </w:r>
    </w:p>
    <w:p>
      <w:pPr>
        <w:pStyle w:val="ListParagraph"/>
        <w:numPr>
          <w:ilvl w:val="0"/>
          <w:numId w:val="7"/>
        </w:numPr>
      </w:pPr>
      <w:r>
        <w:t xml:space="preserve">Substitution: teacher absent → coordinator assigns substitute → affected teacher and class see the change.</w:t>
      </w:r>
    </w:p>
    <w:p>
      <w:pPr>
        <w:pStyle w:val="ListParagraph"/>
        <w:numPr>
          <w:ilvl w:val="0"/>
          <w:numId w:val="7"/>
        </w:numPr>
      </w:pPr>
      <w:r>
        <w:t xml:space="preserve">Fees (Phase 2): define structure → assign to students → collect → receipt → reconcile.</w:t>
      </w:r>
    </w:p>
    <w:p>
      <w:pPr>
        <w:pStyle w:val="Heading2"/>
      </w:pPr>
      <w:r>
        <w:t xml:space="preserve">16. Role-permission matrix (proposed; verify against current implementation)</w:t>
      </w:r>
    </w:p>
    <w:tbl>
      <w:tblPr>
        <w:tblStyle w:val="TableGrid"/>
        <w:tblW w:w="0" w:type="auto"/>
        <w:tblLayout w:type="fixed"/>
        <w:tblLook w:val="04A0" w:firstRow="1" w:lastRow="0" w:firstColumn="0" w:lastColumn="0" w:noHBand="0" w:noVBand="1"/>
      </w:tblPr>
      <w:tblGrid>
        <w:gridCol w:w="1827"/>
        <w:gridCol w:w="1269"/>
        <w:gridCol w:w="1220"/>
        <w:gridCol w:w="948"/>
        <w:gridCol w:w="1068"/>
        <w:gridCol w:w="1067"/>
        <w:gridCol w:w="933"/>
        <w:gridCol w:w="1027"/>
      </w:tblGrid>
      <w:tr>
        <w:trPr>
          <w:tblHeader/>
        </w:trPr>
        <w:tc>
          <w:tcPr>
            <w:tcW w:w="1827" w:type="dxa"/>
            <w:shd w:val="clear" w:color="auto" w:fill="F2F2F2"/>
          </w:tcPr>
          <w:p>
            <w:pPr/>
            <w:r>
              <w:t xml:space="preserve">Capability</w:t>
            </w:r>
          </w:p>
        </w:tc>
        <w:tc>
          <w:tcPr>
            <w:tcW w:w="1269" w:type="dxa"/>
            <w:shd w:val="clear" w:color="auto" w:fill="F2F2F2"/>
          </w:tcPr>
          <w:p>
            <w:pPr/>
            <w:r>
              <w:t xml:space="preserve">Super/Platform admin</w:t>
            </w:r>
          </w:p>
        </w:tc>
        <w:tc>
          <w:tcPr>
            <w:tcW w:w="1220" w:type="dxa"/>
            <w:shd w:val="clear" w:color="auto" w:fill="F2F2F2"/>
          </w:tcPr>
          <w:p>
            <w:pPr/>
            <w:r>
              <w:t xml:space="preserve">Community admin</w:t>
            </w:r>
          </w:p>
        </w:tc>
        <w:tc>
          <w:tcPr>
            <w:tcW w:w="948" w:type="dxa"/>
            <w:shd w:val="clear" w:color="auto" w:fill="F2F2F2"/>
          </w:tcPr>
          <w:p>
            <w:pPr/>
            <w:r>
              <w:t xml:space="preserve">School owner</w:t>
            </w:r>
          </w:p>
        </w:tc>
        <w:tc>
          <w:tcPr>
            <w:tcW w:w="1068" w:type="dxa"/>
            <w:shd w:val="clear" w:color="auto" w:fill="F2F2F2"/>
          </w:tcPr>
          <w:p>
            <w:pPr/>
            <w:r>
              <w:t xml:space="preserve">School admin</w:t>
            </w:r>
          </w:p>
        </w:tc>
        <w:tc>
          <w:tcPr>
            <w:tcW w:w="1067" w:type="dxa"/>
            <w:shd w:val="clear" w:color="auto" w:fill="F2F2F2"/>
          </w:tcPr>
          <w:p>
            <w:pPr/>
            <w:r>
              <w:t xml:space="preserve">Teacher</w:t>
            </w:r>
          </w:p>
        </w:tc>
        <w:tc>
          <w:tcPr>
            <w:tcW w:w="933" w:type="dxa"/>
            <w:shd w:val="clear" w:color="auto" w:fill="F2F2F2"/>
          </w:tcPr>
          <w:p>
            <w:pPr/>
            <w:r>
              <w:t xml:space="preserve">Parent</w:t>
            </w:r>
          </w:p>
        </w:tc>
        <w:tc>
          <w:tcPr>
            <w:tcW w:w="1027" w:type="dxa"/>
            <w:shd w:val="clear" w:color="auto" w:fill="F2F2F2"/>
          </w:tcPr>
          <w:p>
            <w:pPr/>
            <w:r>
              <w:t xml:space="preserve">Student</w:t>
            </w:r>
          </w:p>
        </w:tc>
      </w:tr>
      <w:tr>
        <w:tc>
          <w:tcPr>
            <w:tcW w:w="1827" w:type="dxa"/>
          </w:tcPr>
          <w:p>
            <w:pPr/>
            <w:r>
              <w:t xml:space="preserve">Tenant provisioning/subscription</w:t>
            </w:r>
          </w:p>
        </w:tc>
        <w:tc>
          <w:tcPr>
            <w:tcW w:w="1269" w:type="dxa"/>
          </w:tcPr>
          <w:p>
            <w:pPr/>
            <w:r>
              <w:t xml:space="preserve">Yes</w:t>
            </w:r>
          </w:p>
        </w:tc>
        <w:tc>
          <w:tcPr>
            <w:tcW w:w="1220" w:type="dxa"/>
          </w:tcPr>
          <w:p>
            <w:pPr/>
            <w:r>
              <w:t xml:space="preserve">No</w:t>
            </w:r>
          </w:p>
        </w:tc>
        <w:tc>
          <w:tcPr>
            <w:tcW w:w="948" w:type="dxa"/>
          </w:tcPr>
          <w:p>
            <w:pPr/>
            <w:r>
              <w:t xml:space="preserve">No</w:t>
            </w:r>
          </w:p>
        </w:tc>
        <w:tc>
          <w:tcPr>
            <w:tcW w:w="1068" w:type="dxa"/>
          </w:tcPr>
          <w:p>
            <w:pPr/>
            <w:r>
              <w:t xml:space="preserve">No</w:t>
            </w:r>
          </w:p>
        </w:tc>
        <w:tc>
          <w:tcPr>
            <w:tcW w:w="1067" w:type="dxa"/>
          </w:tcPr>
          <w:p>
            <w:pPr/>
            <w:r>
              <w:t xml:space="preserve">No</w:t>
            </w:r>
          </w:p>
        </w:tc>
        <w:tc>
          <w:tcPr>
            <w:tcW w:w="933" w:type="dxa"/>
          </w:tcPr>
          <w:p>
            <w:pPr/>
            <w:r>
              <w:t xml:space="preserve">No</w:t>
            </w:r>
          </w:p>
        </w:tc>
        <w:tc>
          <w:tcPr>
            <w:tcW w:w="1027" w:type="dxa"/>
          </w:tcPr>
          <w:p>
            <w:pPr/>
            <w:r>
              <w:t xml:space="preserve">No</w:t>
            </w:r>
          </w:p>
        </w:tc>
      </w:tr>
      <w:tr>
        <w:tc>
          <w:tcPr>
            <w:tcW w:w="1827" w:type="dxa"/>
          </w:tcPr>
          <w:p>
            <w:pPr/>
            <w:r>
              <w:t xml:space="preserve">School config, academic year, calendar</w:t>
            </w:r>
          </w:p>
        </w:tc>
        <w:tc>
          <w:tcPr>
            <w:tcW w:w="1269" w:type="dxa"/>
          </w:tcPr>
          <w:p>
            <w:pPr/>
            <w:r>
              <w:t xml:space="preserve">Audited support access</w:t>
            </w:r>
          </w:p>
        </w:tc>
        <w:tc>
          <w:tcPr>
            <w:tcW w:w="1220" w:type="dxa"/>
          </w:tcPr>
          <w:p>
            <w:pPr/>
            <w:r>
              <w:t xml:space="preserve">Cross-school view</w:t>
            </w:r>
          </w:p>
        </w:tc>
        <w:tc>
          <w:tcPr>
            <w:tcW w:w="948" w:type="dxa"/>
          </w:tcPr>
          <w:p>
            <w:pPr/>
            <w:r>
              <w:t xml:space="preserve">Read</w:t>
            </w:r>
          </w:p>
        </w:tc>
        <w:tc>
          <w:tcPr>
            <w:tcW w:w="1068" w:type="dxa"/>
          </w:tcPr>
          <w:p>
            <w:pPr/>
            <w:r>
              <w:t xml:space="preserve">Yes</w:t>
            </w:r>
          </w:p>
        </w:tc>
        <w:tc>
          <w:tcPr>
            <w:tcW w:w="1067" w:type="dxa"/>
          </w:tcPr>
          <w:p>
            <w:pPr/>
            <w:r>
              <w:t xml:space="preserve">No</w:t>
            </w:r>
          </w:p>
        </w:tc>
        <w:tc>
          <w:tcPr>
            <w:tcW w:w="933" w:type="dxa"/>
          </w:tcPr>
          <w:p>
            <w:pPr/>
            <w:r>
              <w:t xml:space="preserve">No</w:t>
            </w:r>
          </w:p>
        </w:tc>
        <w:tc>
          <w:tcPr>
            <w:tcW w:w="1027" w:type="dxa"/>
          </w:tcPr>
          <w:p>
            <w:pPr/>
            <w:r>
              <w:t xml:space="preserve">No</w:t>
            </w:r>
          </w:p>
        </w:tc>
      </w:tr>
      <w:tr>
        <w:tc>
          <w:tcPr>
            <w:tcW w:w="1827" w:type="dxa"/>
          </w:tcPr>
          <w:p>
            <w:pPr/>
            <w:r>
              <w:t xml:space="preserve">Student/staff records</w:t>
            </w:r>
          </w:p>
        </w:tc>
        <w:tc>
          <w:tcPr>
            <w:tcW w:w="1269" w:type="dxa"/>
          </w:tcPr>
          <w:p>
            <w:pPr/>
            <w:r>
              <w:t xml:space="preserve">Audited support access</w:t>
            </w:r>
          </w:p>
        </w:tc>
        <w:tc>
          <w:tcPr>
            <w:tcW w:w="1220" w:type="dxa"/>
          </w:tcPr>
          <w:p>
            <w:pPr/>
            <w:r>
              <w:t xml:space="preserve">Aggregate only</w:t>
            </w:r>
          </w:p>
        </w:tc>
        <w:tc>
          <w:tcPr>
            <w:tcW w:w="948" w:type="dxa"/>
          </w:tcPr>
          <w:p>
            <w:pPr/>
            <w:r>
              <w:t xml:space="preserve">Read</w:t>
            </w:r>
          </w:p>
        </w:tc>
        <w:tc>
          <w:tcPr>
            <w:tcW w:w="1068" w:type="dxa"/>
          </w:tcPr>
          <w:p>
            <w:pPr/>
            <w:r>
              <w:t xml:space="preserve">Yes</w:t>
            </w:r>
          </w:p>
        </w:tc>
        <w:tc>
          <w:tcPr>
            <w:tcW w:w="1067" w:type="dxa"/>
          </w:tcPr>
          <w:p>
            <w:pPr/>
            <w:r>
              <w:t xml:space="preserve">Own classes read</w:t>
            </w:r>
          </w:p>
        </w:tc>
        <w:tc>
          <w:tcPr>
            <w:tcW w:w="933" w:type="dxa"/>
          </w:tcPr>
          <w:p>
            <w:pPr/>
            <w:r>
              <w:t xml:space="preserve">Own child read</w:t>
            </w:r>
          </w:p>
        </w:tc>
        <w:tc>
          <w:tcPr>
            <w:tcW w:w="1027" w:type="dxa"/>
          </w:tcPr>
          <w:p>
            <w:pPr/>
            <w:r>
              <w:t xml:space="preserve">Own read</w:t>
            </w:r>
          </w:p>
        </w:tc>
      </w:tr>
      <w:tr>
        <w:tc>
          <w:tcPr>
            <w:tcW w:w="1827" w:type="dxa"/>
          </w:tcPr>
          <w:p>
            <w:pPr/>
            <w:r>
              <w:t xml:space="preserve">Attendance</w:t>
            </w:r>
          </w:p>
        </w:tc>
        <w:tc>
          <w:tcPr>
            <w:tcW w:w="1269" w:type="dxa"/>
          </w:tcPr>
          <w:p>
            <w:pPr/>
            <w:r>
              <w:t xml:space="preserve">No</w:t>
            </w:r>
          </w:p>
        </w:tc>
        <w:tc>
          <w:tcPr>
            <w:tcW w:w="1220" w:type="dxa"/>
          </w:tcPr>
          <w:p>
            <w:pPr/>
            <w:r>
              <w:t xml:space="preserve">Aggregate</w:t>
            </w:r>
          </w:p>
        </w:tc>
        <w:tc>
          <w:tcPr>
            <w:tcW w:w="948" w:type="dxa"/>
          </w:tcPr>
          <w:p>
            <w:pPr/>
            <w:r>
              <w:t xml:space="preserve">Read</w:t>
            </w:r>
          </w:p>
        </w:tc>
        <w:tc>
          <w:tcPr>
            <w:tcW w:w="1068" w:type="dxa"/>
          </w:tcPr>
          <w:p>
            <w:pPr/>
            <w:r>
              <w:t xml:space="preserve">Yes plus override</w:t>
            </w:r>
          </w:p>
        </w:tc>
        <w:tc>
          <w:tcPr>
            <w:tcW w:w="1067" w:type="dxa"/>
          </w:tcPr>
          <w:p>
            <w:pPr/>
            <w:r>
              <w:t xml:space="preserve">Own classes</w:t>
            </w:r>
          </w:p>
        </w:tc>
        <w:tc>
          <w:tcPr>
            <w:tcW w:w="933" w:type="dxa"/>
          </w:tcPr>
          <w:p>
            <w:pPr/>
            <w:r>
              <w:t xml:space="preserve">Own child read</w:t>
            </w:r>
          </w:p>
        </w:tc>
        <w:tc>
          <w:tcPr>
            <w:tcW w:w="1027" w:type="dxa"/>
          </w:tcPr>
          <w:p>
            <w:pPr/>
            <w:r>
              <w:t xml:space="preserve">Own read</w:t>
            </w:r>
          </w:p>
        </w:tc>
      </w:tr>
      <w:tr>
        <w:tc>
          <w:tcPr>
            <w:tcW w:w="1827" w:type="dxa"/>
          </w:tcPr>
          <w:p>
            <w:pPr/>
            <w:r>
              <w:t xml:space="preserve">Fees</w:t>
            </w:r>
          </w:p>
        </w:tc>
        <w:tc>
          <w:tcPr>
            <w:tcW w:w="1269" w:type="dxa"/>
          </w:tcPr>
          <w:p>
            <w:pPr/>
            <w:r>
              <w:t xml:space="preserve">No</w:t>
            </w:r>
          </w:p>
        </w:tc>
        <w:tc>
          <w:tcPr>
            <w:tcW w:w="1220" w:type="dxa"/>
          </w:tcPr>
          <w:p>
            <w:pPr/>
            <w:r>
              <w:t xml:space="preserve">Aggregate</w:t>
            </w:r>
          </w:p>
        </w:tc>
        <w:tc>
          <w:tcPr>
            <w:tcW w:w="948" w:type="dxa"/>
          </w:tcPr>
          <w:p>
            <w:pPr/>
            <w:r>
              <w:t xml:space="preserve">Read</w:t>
            </w:r>
          </w:p>
        </w:tc>
        <w:tc>
          <w:tcPr>
            <w:tcW w:w="1068" w:type="dxa"/>
          </w:tcPr>
          <w:p>
            <w:pPr/>
            <w:r>
              <w:t xml:space="preserve">Yes</w:t>
            </w:r>
          </w:p>
        </w:tc>
        <w:tc>
          <w:tcPr>
            <w:tcW w:w="1067" w:type="dxa"/>
          </w:tcPr>
          <w:p>
            <w:pPr/>
            <w:r>
              <w:t xml:space="preserve">No</w:t>
            </w:r>
          </w:p>
        </w:tc>
        <w:tc>
          <w:tcPr>
            <w:tcW w:w="933" w:type="dxa"/>
          </w:tcPr>
          <w:p>
            <w:pPr/>
            <w:r>
              <w:t xml:space="preserve">Own child</w:t>
            </w:r>
          </w:p>
        </w:tc>
        <w:tc>
          <w:tcPr>
            <w:tcW w:w="1027" w:type="dxa"/>
          </w:tcPr>
          <w:p>
            <w:pPr/>
            <w:r>
              <w:t xml:space="preserve">No</w:t>
            </w:r>
          </w:p>
        </w:tc>
      </w:tr>
    </w:tbl>
    <w:p>
      <w:pPr/>
      <w:r>
        <w:t xml:space="preserve">Platform and community staff access to tenant student data should be exceptional, time-bound and logged.</w:t>
      </w:r>
    </w:p>
    <w:p>
      <w:pPr>
        <w:pStyle w:val="Heading2"/>
      </w:pPr>
      <w:r>
        <w:t xml:space="preserve">17. Non-functional requirements (all targets are proposals to be benchmarked)</w:t>
      </w:r>
    </w:p>
    <w:tbl>
      <w:tblPr>
        <w:tblStyle w:val="TableGrid"/>
        <w:tblW w:w="0" w:type="auto"/>
        <w:tblLayout w:type="fixed"/>
        <w:tblLook w:val="04A0" w:firstRow="1" w:lastRow="0" w:firstColumn="0" w:lastColumn="0" w:noHBand="0" w:noVBand="1"/>
      </w:tblPr>
      <w:tblGrid>
        <w:gridCol w:w="1819"/>
        <w:gridCol w:w="4920"/>
        <w:gridCol w:w="2621"/>
      </w:tblGrid>
      <w:tr>
        <w:trPr>
          <w:tblHeader/>
        </w:trPr>
        <w:tc>
          <w:tcPr>
            <w:tcW w:w="1819" w:type="dxa"/>
            <w:shd w:val="clear" w:color="auto" w:fill="F2F2F2"/>
          </w:tcPr>
          <w:p>
            <w:pPr/>
            <w:r>
              <w:t xml:space="preserve">Area</w:t>
            </w:r>
          </w:p>
        </w:tc>
        <w:tc>
          <w:tcPr>
            <w:tcW w:w="4920" w:type="dxa"/>
            <w:shd w:val="clear" w:color="auto" w:fill="F2F2F2"/>
          </w:tcPr>
          <w:p>
            <w:pPr/>
            <w:r>
              <w:t xml:space="preserve">Proposed target</w:t>
            </w:r>
          </w:p>
        </w:tc>
        <w:tc>
          <w:tcPr>
            <w:tcW w:w="2621" w:type="dxa"/>
            <w:shd w:val="clear" w:color="auto" w:fill="F2F2F2"/>
          </w:tcPr>
          <w:p>
            <w:pPr/>
            <w:r>
              <w:t xml:space="preserve">Validation</w:t>
            </w:r>
          </w:p>
        </w:tc>
      </w:tr>
      <w:tr>
        <w:tc>
          <w:tcPr>
            <w:tcW w:w="1819" w:type="dxa"/>
          </w:tcPr>
          <w:p>
            <w:pPr/>
            <w:r>
              <w:t xml:space="preserve">Availability</w:t>
            </w:r>
          </w:p>
        </w:tc>
        <w:tc>
          <w:tcPr>
            <w:tcW w:w="4920" w:type="dxa"/>
          </w:tcPr>
          <w:p>
            <w:pPr/>
            <w:r>
              <w:t xml:space="preserve">99.5% monthly at launch, revisit after baseline</w:t>
            </w:r>
          </w:p>
        </w:tc>
        <w:tc>
          <w:tcPr>
            <w:tcW w:w="2621" w:type="dxa"/>
          </w:tcPr>
          <w:p>
            <w:pPr/>
            <w:r>
              <w:t xml:space="preserve">Uptime monitoring</w:t>
            </w:r>
          </w:p>
        </w:tc>
      </w:tr>
      <w:tr>
        <w:tc>
          <w:tcPr>
            <w:tcW w:w="1819" w:type="dxa"/>
          </w:tcPr>
          <w:p>
            <w:pPr/>
            <w:r>
              <w:t xml:space="preserve">API latency</w:t>
            </w:r>
          </w:p>
        </w:tc>
        <w:tc>
          <w:tcPr>
            <w:tcW w:w="4920" w:type="dxa"/>
          </w:tcPr>
          <w:p>
            <w:pPr/>
            <w:r>
              <w:t xml:space="preserve">p95 under 500 ms for read endpoints at pilot scale</w:t>
            </w:r>
          </w:p>
        </w:tc>
        <w:tc>
          <w:tcPr>
            <w:tcW w:w="2621" w:type="dxa"/>
          </w:tcPr>
          <w:p>
            <w:pPr/>
            <w:r>
              <w:t xml:space="preserve">Load test with realistic school size</w:t>
            </w:r>
          </w:p>
        </w:tc>
      </w:tr>
      <w:tr>
        <w:tc>
          <w:tcPr>
            <w:tcW w:w="1819" w:type="dxa"/>
          </w:tcPr>
          <w:p>
            <w:pPr/>
            <w:r>
              <w:t xml:space="preserve">Attendance peak</w:t>
            </w:r>
          </w:p>
        </w:tc>
        <w:tc>
          <w:tcPr>
            <w:tcW w:w="4920" w:type="dxa"/>
          </w:tcPr>
          <w:p>
            <w:pPr/>
            <w:r>
              <w:t xml:space="preserve">All teachers of a 1,500-student school submitting within a 10-minute window</w:t>
            </w:r>
          </w:p>
        </w:tc>
        <w:tc>
          <w:tcPr>
            <w:tcW w:w="2621" w:type="dxa"/>
          </w:tcPr>
          <w:p>
            <w:pPr/>
            <w:r>
              <w:t xml:space="preserve">Performance test</w:t>
            </w:r>
          </w:p>
        </w:tc>
      </w:tr>
      <w:tr>
        <w:tc>
          <w:tcPr>
            <w:tcW w:w="1819" w:type="dxa"/>
          </w:tcPr>
          <w:p>
            <w:pPr/>
            <w:r>
              <w:t xml:space="preserve">Timetable grid and occupancy</w:t>
            </w:r>
          </w:p>
        </w:tc>
        <w:tc>
          <w:tcPr>
            <w:tcW w:w="4920" w:type="dxa"/>
          </w:tcPr>
          <w:p>
            <w:pPr/>
            <w:r>
              <w:t xml:space="preserve">Keep the existing constant SQL-statement count per request, asserted in tests (query count, not total runtime)</w:t>
            </w:r>
          </w:p>
        </w:tc>
        <w:tc>
          <w:tcPr>
            <w:tcW w:w="2621" w:type="dxa"/>
          </w:tcPr>
          <w:p>
            <w:pPr/>
            <w:r>
              <w:t xml:space="preserve">Existing invariant tests</w:t>
            </w:r>
          </w:p>
        </w:tc>
      </w:tr>
      <w:tr>
        <w:tc>
          <w:tcPr>
            <w:tcW w:w="1819" w:type="dxa"/>
          </w:tcPr>
          <w:p>
            <w:pPr/>
            <w:r>
              <w:t xml:space="preserve">Backup/restore</w:t>
            </w:r>
          </w:p>
        </w:tc>
        <w:tc>
          <w:tcPr>
            <w:tcW w:w="4920" w:type="dxa"/>
          </w:tcPr>
          <w:p>
            <w:pPr/>
            <w:r>
              <w:t xml:space="preserve">Per-tenant restore tested; RPO and RTO to be set after cost modeling</w:t>
            </w:r>
          </w:p>
        </w:tc>
        <w:tc>
          <w:tcPr>
            <w:tcW w:w="2621" w:type="dxa"/>
          </w:tcPr>
          <w:p>
            <w:pPr/>
            <w:r>
              <w:t xml:space="preserve">Quarterly restore drill</w:t>
            </w:r>
          </w:p>
        </w:tc>
      </w:tr>
      <w:tr>
        <w:tc>
          <w:tcPr>
            <w:tcW w:w="1819" w:type="dxa"/>
          </w:tcPr>
          <w:p>
            <w:pPr/>
            <w:r>
              <w:t xml:space="preserve">Security</w:t>
            </w:r>
          </w:p>
        </w:tc>
        <w:tc>
          <w:tcPr>
            <w:tcW w:w="4920" w:type="dxa"/>
          </w:tcPr>
          <w:p>
            <w:pPr/>
            <w:r>
              <w:t xml:space="preserve">Tenant isolation tests for headers, jobs, async, caches, files, exports, webhooks; refresh-token revocation; rate limiting; secure uploads</w:t>
            </w:r>
          </w:p>
        </w:tc>
        <w:tc>
          <w:tcPr>
            <w:tcW w:w="2621" w:type="dxa"/>
          </w:tcPr>
          <w:p>
            <w:pPr/>
            <w:r>
              <w:t xml:space="preserve">Authorization and security test suites</w:t>
            </w:r>
          </w:p>
        </w:tc>
      </w:tr>
      <w:tr>
        <w:tc>
          <w:tcPr>
            <w:tcW w:w="1819" w:type="dxa"/>
          </w:tcPr>
          <w:p>
            <w:pPr/>
            <w:r>
              <w:t xml:space="preserve">Usability</w:t>
            </w:r>
          </w:p>
        </w:tc>
        <w:tc>
          <w:tcPr>
            <w:tcW w:w="4920" w:type="dxa"/>
          </w:tcPr>
          <w:p>
            <w:pPr/>
            <w:r>
              <w:t xml:space="preserve">Attendance completed on a phone browser on low bandwidth; Hindi plus one more regional language researched</w:t>
            </w:r>
          </w:p>
        </w:tc>
        <w:tc>
          <w:tcPr>
            <w:tcW w:w="2621" w:type="dxa"/>
          </w:tcPr>
          <w:p>
            <w:pPr/>
            <w:r>
              <w:t xml:space="preserve">Usability tests</w:t>
            </w:r>
          </w:p>
        </w:tc>
      </w:tr>
      <w:tr>
        <w:tc>
          <w:tcPr>
            <w:tcW w:w="1819" w:type="dxa"/>
          </w:tcPr>
          <w:p>
            <w:pPr/>
            <w:r>
              <w:t xml:space="preserve">Accessibility</w:t>
            </w:r>
          </w:p>
        </w:tc>
        <w:tc>
          <w:tcPr>
            <w:tcW w:w="4920" w:type="dxa"/>
          </w:tcPr>
          <w:p>
            <w:pPr/>
            <w:r>
              <w:t xml:space="preserve">Aim for WCAG 2.2 AA on parent and teacher flows</w:t>
            </w:r>
          </w:p>
        </w:tc>
        <w:tc>
          <w:tcPr>
            <w:tcW w:w="2621" w:type="dxa"/>
          </w:tcPr>
          <w:p>
            <w:pPr/>
            <w:r>
              <w:t xml:space="preserve">Audit</w:t>
            </w:r>
          </w:p>
        </w:tc>
      </w:tr>
    </w:tbl>
    <w:p>
      <w:pPr/>
      <w:r>
        <w:rPr>
          <w:b/>
        </w:rPr>
        <w:t xml:space="preserve">Database-per-tenant operational cost (to model before pricing):</w:t>
      </w:r>
      <w:r>
        <w:t xml:space="preserve"> connection count scales with active tenants, so a per-tenant pool strategy and idle-pool eviction are required; migrations must be orchestrated across all tenants with failure isolation; backups and restores are per database; disaster recovery needs automation. This isolation is a strong privacy selling point but raises fixed operating cost per school, so it must be reflected in minimum pricing.</w:t>
      </w:r>
    </w:p>
    <w:p>
      <w:pPr>
        <w:pStyle w:val="Heading2"/>
      </w:pPr>
      <w:r>
        <w:t xml:space="preserve">18. Architecture-aware implications</w:t>
      </w:r>
    </w:p>
    <w:p>
      <w:pPr>
        <w:pStyle w:val="ListParagraph"/>
        <w:numPr>
          <w:ilvl w:val="0"/>
          <w:numId w:val="8"/>
        </w:numPr>
      </w:pPr>
      <w:r>
        <w:rPr>
          <w:b/>
        </w:rPr>
        <w:t xml:space="preserve">Master domain:</w:t>
      </w:r>
      <w:r>
        <w:t xml:space="preserve"> identity, school directory, onboarding workflow, tenant registry, subscription, platform billing, audit. </w:t>
      </w:r>
      <w:r>
        <w:rPr>
          <w:b/>
        </w:rPr>
        <w:t xml:space="preserve">Tenant domain:</w:t>
      </w:r>
      <w:r>
        <w:t xml:space="preserve"> all student, staff, academic, attendance, fee and exam data. Do not move student data to master.</w:t>
      </w:r>
    </w:p>
    <w:p>
      <w:pPr>
        <w:pStyle w:val="ListParagraph"/>
        <w:numPr>
          <w:ilvl w:val="0"/>
          <w:numId w:val="8"/>
        </w:numPr>
      </w:pPr>
      <w:r>
        <w:rPr>
          <w:b/>
        </w:rPr>
        <w:t xml:space="preserve">Consistency:</w:t>
      </w:r>
      <w:r>
        <w:t xml:space="preserve"> master and tenant databases cannot share one ACID transaction. Use an explicit workflow with persisted state for provisioning and subscription-to-entitlement changes, idempotent steps, and compensating actions or resumable retries.</w:t>
      </w:r>
    </w:p>
    <w:p>
      <w:pPr>
        <w:pStyle w:val="ListParagraph"/>
        <w:numPr>
          <w:ilvl w:val="0"/>
          <w:numId w:val="8"/>
        </w:numPr>
      </w:pPr>
      <w:r>
        <w:rPr>
          <w:b/>
        </w:rPr>
        <w:t xml:space="preserve">Payments:</w:t>
      </w:r>
      <w:r>
        <w:t xml:space="preserve"> store the gateway event identifier and ignore duplicates; verify signature before any state change; reconcile daily.</w:t>
      </w:r>
    </w:p>
    <w:p>
      <w:pPr>
        <w:pStyle w:val="ListParagraph"/>
        <w:numPr>
          <w:ilvl w:val="0"/>
          <w:numId w:val="8"/>
        </w:numPr>
      </w:pPr>
      <w:r>
        <w:rPr>
          <w:b/>
        </w:rPr>
        <w:t xml:space="preserve">Tenant context:</w:t>
      </w:r>
      <w:r>
        <w:t xml:space="preserve"> set from the authenticated entitlement, propagate explicitly to async jobs, clear in a finally block, include in cache keys and file paths.</w:t>
      </w:r>
    </w:p>
    <w:p>
      <w:pPr>
        <w:pStyle w:val="ListParagraph"/>
        <w:numPr>
          <w:ilvl w:val="0"/>
          <w:numId w:val="8"/>
        </w:numPr>
      </w:pPr>
      <w:r>
        <w:rPr>
          <w:b/>
        </w:rPr>
        <w:t xml:space="preserve">Portals:</w:t>
      </w:r>
      <w:r>
        <w:t xml:space="preserve"> add parent/student authorization via explicit guardian-to-student links inside the tenant domain, not by relaxing the existing denial.</w:t>
      </w:r>
    </w:p>
    <w:p>
      <w:pPr>
        <w:pStyle w:val="ListParagraph"/>
        <w:numPr>
          <w:ilvl w:val="0"/>
          <w:numId w:val="8"/>
        </w:numPr>
      </w:pPr>
      <w:r>
        <w:rPr>
          <w:b/>
        </w:rPr>
        <w:t xml:space="preserve">Testing:</w:t>
      </w:r>
      <w:r>
        <w:t xml:space="preserve"> keep Testcontainers PostgreSQL; add migration tests across tenants, cross-tenant negative tests, and contract tests for webhooks.</w:t>
      </w:r>
    </w:p>
    <w:p>
      <w:pPr>
        <w:pStyle w:val="Heading2"/>
      </w:pPr>
      <w:r>
        <w:t xml:space="preserve">19. Security, privacy and compliance</w:t>
      </w:r>
    </w:p>
    <w:p>
      <w:pPr>
        <w:pStyle w:val="ListParagraph"/>
        <w:numPr>
          <w:ilvl w:val="0"/>
          <w:numId w:val="9"/>
        </w:numPr>
      </w:pPr>
      <w:r>
        <w:rPr>
          <w:b/>
        </w:rPr>
        <w:t xml:space="preserve">DPDP Act 2023 and DPDP Rules 2025</w:t>
      </w:r>
      <w:r>
        <w:t xml:space="preserve"> were notified by MeitY on 13–14 November 2025 (sources differ on the exact day; confirm against the Gazette). Per secondary sources, the rollout is phased: Board provisions from notification, consent-manager provisions about 12 months later (14 November 2026), and substantive duties including notice and consent, security safeguards, breach reporting, and verifiable parental consent for children's data from </w:t>
      </w:r>
      <w:r>
        <w:rPr>
          <w:b/>
        </w:rPr>
        <w:t xml:space="preserve">14 May 2027</w:t>
      </w:r>
      <w:r>
        <w:t xml:space="preserve">.</w:t>
      </w:r>
    </w:p>
    <w:p>
      <w:pPr>
        <w:pStyle w:val="ListParagraph"/>
        <w:numPr>
          <w:ilvl w:val="0"/>
          <w:numId w:val="9"/>
        </w:numPr>
      </w:pPr>
      <w:r>
        <w:t xml:space="preserve">Children (under 18) need verifiable parental consent, and tracking, behavioral monitoring and targeted advertising directed at children are restricted. Sources report </w:t>
      </w:r>
      <w:r>
        <w:rPr>
          <w:b/>
        </w:rPr>
        <w:t xml:space="preserve">exemptions for educational institutions limited to specified purposes</w:t>
      </w:r>
      <w:r>
        <w:t xml:space="preserve">, so whether Vidya is a fiduciary or processor, and which processing falls inside the exemption, is a </w:t>
      </w:r>
      <w:r>
        <w:rPr>
          <w:b/>
        </w:rPr>
        <w:t xml:space="preserve">legal-review item</w:t>
      </w:r>
      <w:r>
        <w:t xml:space="preserve">.</w:t>
      </w:r>
    </w:p>
    <w:p>
      <w:pPr>
        <w:pStyle w:val="ListParagraph"/>
        <w:numPr>
          <w:ilvl w:val="0"/>
          <w:numId w:val="9"/>
        </w:numPr>
      </w:pPr>
      <w:r>
        <w:t xml:space="preserve">Reported breach-notification duties include a 72-hour clock in secondary sources: verify.</w:t>
      </w:r>
    </w:p>
    <w:p>
      <w:pPr>
        <w:pStyle w:val="ListParagraph"/>
        <w:numPr>
          <w:ilvl w:val="0"/>
          <w:numId w:val="9"/>
        </w:numPr>
      </w:pPr>
      <w:r>
        <w:t xml:space="preserve">Product requirements: purpose-limited data collection, guardian notice and consent records, retention and erasure workflows, a breach response runbook, processor agreements with each school, and no behavioral profiling of students.</w:t>
      </w:r>
    </w:p>
    <w:p>
      <w:pPr>
        <w:pStyle w:val="ListParagraph"/>
        <w:numPr>
          <w:ilvl w:val="0"/>
          <w:numId w:val="9"/>
        </w:numPr>
      </w:pPr>
      <w:r>
        <w:t xml:space="preserve">Needs specialist review: fee receipts and GST/accounting treatment, payment-gateway obligations, board-specific reporting rules.</w:t>
      </w:r>
    </w:p>
    <w:p>
      <w:pPr>
        <w:pStyle w:val="Heading2"/>
      </w:pPr>
      <w:r>
        <w:t xml:space="preserve">20. Integrations and dependencies</w:t>
      </w:r>
    </w:p>
    <w:p>
      <w:pPr/>
      <w:r>
        <w:t xml:space="preserve">Payment gateway, SMS/email provider, WhatsApp Business (cost and template policy to research), object storage for documents, accounting export (Tally-style CSV is a likely Phase 2–3 need, unverified). Each external provider needs a fallback and a cost model.</w:t>
      </w:r>
    </w:p>
    <w:p>
      <w:pPr>
        <w:pStyle w:val="Heading2"/>
      </w:pPr>
      <w:r>
        <w:t xml:space="preserve">21. Commercial model (hypotheses only; no willingness-to-pay data yet)</w:t>
      </w:r>
    </w:p>
    <w:p>
      <w:pPr/>
      <w:r>
        <w:t xml:space="preserve">Published and rumored competitor figures are inconsistent (Section 7), so treat them as ranges to test, not benchmarks.</w:t>
      </w:r>
    </w:p>
    <w:tbl>
      <w:tblPr>
        <w:tblStyle w:val="TableGrid"/>
        <w:tblW w:w="0" w:type="auto"/>
        <w:tblLayout w:type="fixed"/>
        <w:tblLook w:val="04A0" w:firstRow="1" w:lastRow="0" w:firstColumn="0" w:lastColumn="0" w:noHBand="0" w:noVBand="1"/>
      </w:tblPr>
      <w:tblGrid>
        <w:gridCol w:w="1146"/>
        <w:gridCol w:w="1566"/>
        <w:gridCol w:w="3059"/>
        <w:gridCol w:w="3589"/>
      </w:tblGrid>
      <w:tr>
        <w:trPr>
          <w:tblHeader/>
        </w:trPr>
        <w:tc>
          <w:tcPr>
            <w:tcW w:w="1146" w:type="dxa"/>
            <w:shd w:val="clear" w:color="auto" w:fill="F2F2F2"/>
          </w:tcPr>
          <w:p>
            <w:pPr/>
            <w:r>
              <w:t xml:space="preserve">Scenario</w:t>
            </w:r>
          </w:p>
        </w:tc>
        <w:tc>
          <w:tcPr>
            <w:tcW w:w="1566" w:type="dxa"/>
            <w:shd w:val="clear" w:color="auto" w:fill="F2F2F2"/>
          </w:tcPr>
          <w:p>
            <w:pPr/>
            <w:r>
              <w:t xml:space="preserve">School</w:t>
            </w:r>
          </w:p>
        </w:tc>
        <w:tc>
          <w:tcPr>
            <w:tcW w:w="3059" w:type="dxa"/>
            <w:shd w:val="clear" w:color="auto" w:fill="F2F2F2"/>
          </w:tcPr>
          <w:p>
            <w:pPr/>
            <w:r>
              <w:t xml:space="preserve">Model</w:t>
            </w:r>
          </w:p>
        </w:tc>
        <w:tc>
          <w:tcPr>
            <w:tcW w:w="3589" w:type="dxa"/>
            <w:shd w:val="clear" w:color="auto" w:fill="F2F2F2"/>
          </w:tcPr>
          <w:p>
            <w:pPr/>
            <w:r>
              <w:t xml:space="preserve">Hypothesis to test</w:t>
            </w:r>
          </w:p>
        </w:tc>
      </w:tr>
      <w:tr>
        <w:tc>
          <w:tcPr>
            <w:tcW w:w="1146" w:type="dxa"/>
          </w:tcPr>
          <w:p>
            <w:pPr/>
            <w:r>
              <w:t xml:space="preserve">A</w:t>
            </w:r>
          </w:p>
        </w:tc>
        <w:tc>
          <w:tcPr>
            <w:tcW w:w="1566" w:type="dxa"/>
          </w:tcPr>
          <w:p>
            <w:pPr/>
            <w:r>
              <w:t xml:space="preserve">About 400 students</w:t>
            </w:r>
          </w:p>
        </w:tc>
        <w:tc>
          <w:tcPr>
            <w:tcW w:w="3059" w:type="dxa"/>
          </w:tcPr>
          <w:p>
            <w:pPr/>
            <w:r>
              <w:t xml:space="preserve">Flat annual per school, core modules included</w:t>
            </w:r>
          </w:p>
        </w:tc>
        <w:tc>
          <w:tcPr>
            <w:tcW w:w="3589" w:type="dxa"/>
          </w:tcPr>
          <w:p>
            <w:pPr/>
            <w:r>
              <w:t xml:space="preserve">Simple to buy; may under-charge growing schools</w:t>
            </w:r>
          </w:p>
        </w:tc>
      </w:tr>
      <w:tr>
        <w:tc>
          <w:tcPr>
            <w:tcW w:w="1146" w:type="dxa"/>
          </w:tcPr>
          <w:p>
            <w:pPr/>
            <w:r>
              <w:t xml:space="preserve">B</w:t>
            </w:r>
          </w:p>
        </w:tc>
        <w:tc>
          <w:tcPr>
            <w:tcW w:w="1566" w:type="dxa"/>
          </w:tcPr>
          <w:p>
            <w:pPr/>
            <w:r>
              <w:t xml:space="preserve">About 800 students</w:t>
            </w:r>
          </w:p>
        </w:tc>
        <w:tc>
          <w:tcPr>
            <w:tcW w:w="3059" w:type="dxa"/>
          </w:tcPr>
          <w:p>
            <w:pPr/>
            <w:r>
              <w:t xml:space="preserve">Per-student per year with a minimum</w:t>
            </w:r>
          </w:p>
        </w:tc>
        <w:tc>
          <w:tcPr>
            <w:tcW w:w="3589" w:type="dxa"/>
          </w:tcPr>
          <w:p>
            <w:pPr/>
            <w:r>
              <w:t xml:space="preserve">Scales with value; compare to the rumored Rs 100–300/student range</w:t>
            </w:r>
          </w:p>
        </w:tc>
      </w:tr>
      <w:tr>
        <w:tc>
          <w:tcPr>
            <w:tcW w:w="1146" w:type="dxa"/>
          </w:tcPr>
          <w:p>
            <w:pPr/>
            <w:r>
              <w:t xml:space="preserve">C</w:t>
            </w:r>
          </w:p>
        </w:tc>
        <w:tc>
          <w:tcPr>
            <w:tcW w:w="1566" w:type="dxa"/>
          </w:tcPr>
          <w:p>
            <w:pPr/>
            <w:r>
              <w:t xml:space="preserve">Group of 3+ branches</w:t>
            </w:r>
          </w:p>
        </w:tc>
        <w:tc>
          <w:tcPr>
            <w:tcW w:w="3059" w:type="dxa"/>
          </w:tcPr>
          <w:p>
            <w:pPr/>
            <w:r>
              <w:t xml:space="preserve">Per-branch plus group dashboard, annual contract</w:t>
            </w:r>
          </w:p>
        </w:tc>
        <w:tc>
          <w:tcPr>
            <w:tcW w:w="3589" w:type="dxa"/>
          </w:tcPr>
          <w:p>
            <w:pPr/>
            <w:r>
              <w:t xml:space="preserve">Higher ARPU, longer cycle</w:t>
            </w:r>
          </w:p>
        </w:tc>
      </w:tr>
    </w:tbl>
    <w:p>
      <w:pPr/>
      <w:r>
        <w:t xml:space="preserve">For each scenario, model: hosting per tenant (including the per-database overhead above), payment-gateway fees, SMS/WhatsApp pass-through, onboarding labor, support hours, and break-even number of schools. Charge messaging as usage, and onboarding as a separate fee or bundled into the first year. </w:t>
      </w:r>
      <w:r>
        <w:rPr>
          <w:b/>
        </w:rPr>
        <w:t xml:space="preserve">Recommended experiment:</w:t>
      </w:r>
      <w:r>
        <w:t xml:space="preserve"> show 10–15 principals two price structures (A versus B) and record their stated willingness and objections, then run a paid pilot.</w:t>
      </w:r>
    </w:p>
    <w:p>
      <w:pPr/>
      <w:r>
        <w:t xml:space="preserve">School total cost of ownership includes onboarding time, staff training, devices, SMS and payment fees, and migration effort, not only the subscription.</w:t>
      </w:r>
    </w:p>
    <w:p>
      <w:pPr>
        <w:pStyle w:val="Heading2"/>
      </w:pPr>
      <w:r>
        <w:t xml:space="preserve">22. Roadmap and release gates</w:t>
      </w:r>
    </w:p>
    <w:tbl>
      <w:tblPr>
        <w:tblStyle w:val="TableGrid"/>
        <w:tblW w:w="0" w:type="auto"/>
        <w:tblLayout w:type="fixed"/>
        <w:tblLook w:val="04A0" w:firstRow="1" w:lastRow="0" w:firstColumn="0" w:lastColumn="0" w:noHBand="0" w:noVBand="1"/>
      </w:tblPr>
      <w:tblGrid>
        <w:gridCol w:w="1463"/>
        <w:gridCol w:w="3227"/>
        <w:gridCol w:w="1879"/>
        <w:gridCol w:w="2790"/>
      </w:tblGrid>
      <w:tr>
        <w:trPr>
          <w:tblHeader/>
        </w:trPr>
        <w:tc>
          <w:tcPr>
            <w:tcW w:w="1463" w:type="dxa"/>
            <w:shd w:val="clear" w:color="auto" w:fill="F2F2F2"/>
          </w:tcPr>
          <w:p>
            <w:pPr/>
            <w:r>
              <w:t xml:space="preserve">Phase</w:t>
            </w:r>
          </w:p>
        </w:tc>
        <w:tc>
          <w:tcPr>
            <w:tcW w:w="3227" w:type="dxa"/>
            <w:shd w:val="clear" w:color="auto" w:fill="F2F2F2"/>
          </w:tcPr>
          <w:p>
            <w:pPr/>
            <w:r>
              <w:t xml:space="preserve">Objective</w:t>
            </w:r>
          </w:p>
        </w:tc>
        <w:tc>
          <w:tcPr>
            <w:tcW w:w="1879" w:type="dxa"/>
            <w:shd w:val="clear" w:color="auto" w:fill="F2F2F2"/>
          </w:tcPr>
          <w:p>
            <w:pPr/>
            <w:r>
              <w:t xml:space="preserve">Effort (rough, assumes 2–4 engineers; to be re-estimated)</w:t>
            </w:r>
          </w:p>
        </w:tc>
        <w:tc>
          <w:tcPr>
            <w:tcW w:w="2790" w:type="dxa"/>
            <w:shd w:val="clear" w:color="auto" w:fill="F2F2F2"/>
          </w:tcPr>
          <w:p>
            <w:pPr/>
            <w:r>
              <w:t xml:space="preserve">Go/no-go</w:t>
            </w:r>
          </w:p>
        </w:tc>
      </w:tr>
      <w:tr>
        <w:tc>
          <w:tcPr>
            <w:tcW w:w="1463" w:type="dxa"/>
          </w:tcPr>
          <w:p>
            <w:pPr/>
            <w:r>
              <w:t xml:space="preserve">0 Discovery</w:t>
            </w:r>
          </w:p>
        </w:tc>
        <w:tc>
          <w:tcPr>
            <w:tcW w:w="3227" w:type="dxa"/>
          </w:tcPr>
          <w:p>
            <w:pPr/>
            <w:r>
              <w:t xml:space="preserve">15–20 interviews, 3 pilot schools, pricing test, competitor doc review</w:t>
            </w:r>
          </w:p>
        </w:tc>
        <w:tc>
          <w:tcPr>
            <w:tcW w:w="1879" w:type="dxa"/>
          </w:tcPr>
          <w:p>
            <w:pPr/>
            <w:r>
              <w:t xml:space="preserve">4–6 weeks</w:t>
            </w:r>
          </w:p>
        </w:tc>
        <w:tc>
          <w:tcPr>
            <w:tcW w:w="2790" w:type="dxa"/>
          </w:tcPr>
          <w:p>
            <w:pPr/>
            <w:r>
              <w:t xml:space="preserve">Three schools commit to pilot</w:t>
            </w:r>
          </w:p>
        </w:tc>
      </w:tr>
      <w:tr>
        <w:tc>
          <w:tcPr>
            <w:tcW w:w="1463" w:type="dxa"/>
          </w:tcPr>
          <w:p>
            <w:pPr/>
            <w:r>
              <w:t xml:space="preserve">1 Core</w:t>
            </w:r>
          </w:p>
        </w:tc>
        <w:tc>
          <w:tcPr>
            <w:tcW w:w="3227" w:type="dxa"/>
          </w:tcPr>
          <w:p>
            <w:pPr/>
            <w:r>
              <w:t xml:space="preserve">Items in Section 13 plus limitation fixes</w:t>
            </w:r>
          </w:p>
        </w:tc>
        <w:tc>
          <w:tcPr>
            <w:tcW w:w="1879" w:type="dxa"/>
          </w:tcPr>
          <w:p>
            <w:pPr/>
            <w:r>
              <w:t xml:space="preserve">3–5 months</w:t>
            </w:r>
          </w:p>
        </w:tc>
        <w:tc>
          <w:tcPr>
            <w:tcW w:w="2790" w:type="dxa"/>
          </w:tcPr>
          <w:p>
            <w:pPr/>
            <w:r>
              <w:t xml:space="preserve">Pilot schools run attendance and timetable daily for 4 weeks</w:t>
            </w:r>
          </w:p>
        </w:tc>
      </w:tr>
      <w:tr>
        <w:tc>
          <w:tcPr>
            <w:tcW w:w="1463" w:type="dxa"/>
          </w:tcPr>
          <w:p>
            <w:pPr/>
            <w:r>
              <w:t xml:space="preserve">2 Adoption</w:t>
            </w:r>
          </w:p>
        </w:tc>
        <w:tc>
          <w:tcPr>
            <w:tcW w:w="3227" w:type="dxa"/>
          </w:tcPr>
          <w:p>
            <w:pPr/>
            <w:r>
              <w:t xml:space="preserve">Fees, portals, notifications, report cards, export</w:t>
            </w:r>
          </w:p>
        </w:tc>
        <w:tc>
          <w:tcPr>
            <w:tcW w:w="1879" w:type="dxa"/>
          </w:tcPr>
          <w:p>
            <w:pPr/>
            <w:r>
              <w:t xml:space="preserve">4–6 months</w:t>
            </w:r>
          </w:p>
        </w:tc>
        <w:tc>
          <w:tcPr>
            <w:tcW w:w="2790" w:type="dxa"/>
          </w:tcPr>
          <w:p>
            <w:pPr/>
            <w:r>
              <w:t xml:space="preserve">Fee collection and parent activation targets met in pilot</w:t>
            </w:r>
          </w:p>
        </w:tc>
      </w:tr>
      <w:tr>
        <w:tc>
          <w:tcPr>
            <w:tcW w:w="1463" w:type="dxa"/>
          </w:tcPr>
          <w:p>
            <w:pPr/>
            <w:r>
              <w:t xml:space="preserve">3 Growth</w:t>
            </w:r>
          </w:p>
        </w:tc>
        <w:tc>
          <w:tcPr>
            <w:tcW w:w="3227" w:type="dxa"/>
          </w:tcPr>
          <w:p>
            <w:pPr/>
            <w:r>
              <w:t xml:space="preserve">Multi-branch, electives, integrations</w:t>
            </w:r>
          </w:p>
        </w:tc>
        <w:tc>
          <w:tcPr>
            <w:tcW w:w="1879" w:type="dxa"/>
          </w:tcPr>
          <w:p>
            <w:pPr/>
            <w:r>
              <w:t xml:space="preserve">Re-plan after Phase 2</w:t>
            </w:r>
          </w:p>
        </w:tc>
        <w:tc>
          <w:tcPr>
            <w:tcW w:w="2790" w:type="dxa"/>
          </w:tcPr>
          <w:p>
            <w:pPr/>
            <w:r>
              <w:t xml:space="preserve">Based on retention</w:t>
            </w:r>
          </w:p>
        </w:tc>
      </w:tr>
    </w:tbl>
    <w:p>
      <w:pPr>
        <w:pStyle w:val="Heading2"/>
      </w:pPr>
      <w:r>
        <w:t xml:space="preserve">23. Metrics (targets provisional until baselines exist)</w:t>
      </w:r>
    </w:p>
    <w:tbl>
      <w:tblPr>
        <w:tblStyle w:val="TableGrid"/>
        <w:tblW w:w="0" w:type="auto"/>
        <w:tblLayout w:type="fixed"/>
        <w:tblLook w:val="04A0" w:firstRow="1" w:lastRow="0" w:firstColumn="0" w:lastColumn="0" w:noHBand="0" w:noVBand="1"/>
      </w:tblPr>
      <w:tblGrid>
        <w:gridCol w:w="2776"/>
        <w:gridCol w:w="4408"/>
        <w:gridCol w:w="2176"/>
      </w:tblGrid>
      <w:tr>
        <w:trPr>
          <w:tblHeader/>
        </w:trPr>
        <w:tc>
          <w:tcPr>
            <w:tcW w:w="2776" w:type="dxa"/>
            <w:shd w:val="clear" w:color="auto" w:fill="F2F2F2"/>
          </w:tcPr>
          <w:p>
            <w:pPr/>
            <w:r>
              <w:t xml:space="preserve">Metric</w:t>
            </w:r>
          </w:p>
        </w:tc>
        <w:tc>
          <w:tcPr>
            <w:tcW w:w="4408" w:type="dxa"/>
            <w:shd w:val="clear" w:color="auto" w:fill="F2F2F2"/>
          </w:tcPr>
          <w:p>
            <w:pPr/>
            <w:r>
              <w:t xml:space="preserve">Formula</w:t>
            </w:r>
          </w:p>
        </w:tc>
        <w:tc>
          <w:tcPr>
            <w:tcW w:w="2176" w:type="dxa"/>
            <w:shd w:val="clear" w:color="auto" w:fill="F2F2F2"/>
          </w:tcPr>
          <w:p>
            <w:pPr/>
            <w:r>
              <w:t xml:space="preserve">Source</w:t>
            </w:r>
          </w:p>
        </w:tc>
      </w:tr>
      <w:tr>
        <w:tc>
          <w:tcPr>
            <w:tcW w:w="2776" w:type="dxa"/>
          </w:tcPr>
          <w:p>
            <w:pPr/>
            <w:r>
              <w:t xml:space="preserve">Time to first attendance</w:t>
            </w:r>
          </w:p>
        </w:tc>
        <w:tc>
          <w:tcPr>
            <w:tcW w:w="4408" w:type="dxa"/>
          </w:tcPr>
          <w:p>
            <w:pPr/>
            <w:r>
              <w:t xml:space="preserve">Timestamp of first submitted attendance minus tenant activation</w:t>
            </w:r>
          </w:p>
        </w:tc>
        <w:tc>
          <w:tcPr>
            <w:tcW w:w="2176" w:type="dxa"/>
          </w:tcPr>
          <w:p>
            <w:pPr/>
            <w:r>
              <w:t xml:space="preserve">Platform events</w:t>
            </w:r>
          </w:p>
        </w:tc>
      </w:tr>
      <w:tr>
        <w:tc>
          <w:tcPr>
            <w:tcW w:w="2776" w:type="dxa"/>
          </w:tcPr>
          <w:p>
            <w:pPr/>
            <w:r>
              <w:t xml:space="preserve">Import failure rate</w:t>
            </w:r>
          </w:p>
        </w:tc>
        <w:tc>
          <w:tcPr>
            <w:tcW w:w="4408" w:type="dxa"/>
          </w:tcPr>
          <w:p>
            <w:pPr/>
            <w:r>
              <w:t xml:space="preserve">Failed rows / total rows per import</w:t>
            </w:r>
          </w:p>
        </w:tc>
        <w:tc>
          <w:tcPr>
            <w:tcW w:w="2176" w:type="dxa"/>
          </w:tcPr>
          <w:p>
            <w:pPr/>
            <w:r>
              <w:t xml:space="preserve">Import logs</w:t>
            </w:r>
          </w:p>
        </w:tc>
      </w:tr>
      <w:tr>
        <w:tc>
          <w:tcPr>
            <w:tcW w:w="2776" w:type="dxa"/>
          </w:tcPr>
          <w:p>
            <w:pPr/>
            <w:r>
              <w:t xml:space="preserve">Teacher weekly active</w:t>
            </w:r>
          </w:p>
        </w:tc>
        <w:tc>
          <w:tcPr>
            <w:tcW w:w="4408" w:type="dxa"/>
          </w:tcPr>
          <w:p>
            <w:pPr/>
            <w:r>
              <w:t xml:space="preserve">Teachers with a write action in 7 days / teachers on roster</w:t>
            </w:r>
          </w:p>
        </w:tc>
        <w:tc>
          <w:tcPr>
            <w:tcW w:w="2176" w:type="dxa"/>
          </w:tcPr>
          <w:p>
            <w:pPr/>
            <w:r>
              <w:t xml:space="preserve">Audit log</w:t>
            </w:r>
          </w:p>
        </w:tc>
      </w:tr>
      <w:tr>
        <w:tc>
          <w:tcPr>
            <w:tcW w:w="2776" w:type="dxa"/>
          </w:tcPr>
          <w:p>
            <w:pPr/>
            <w:r>
              <w:t xml:space="preserve">Parent activation</w:t>
            </w:r>
          </w:p>
        </w:tc>
        <w:tc>
          <w:tcPr>
            <w:tcW w:w="4408" w:type="dxa"/>
          </w:tcPr>
          <w:p>
            <w:pPr/>
            <w:r>
              <w:t xml:space="preserve">Guardians who logged in or consented / guardians invited</w:t>
            </w:r>
          </w:p>
        </w:tc>
        <w:tc>
          <w:tcPr>
            <w:tcW w:w="2176" w:type="dxa"/>
          </w:tcPr>
          <w:p>
            <w:pPr/>
            <w:r>
              <w:t xml:space="preserve">Portal events</w:t>
            </w:r>
          </w:p>
        </w:tc>
      </w:tr>
      <w:tr>
        <w:tc>
          <w:tcPr>
            <w:tcW w:w="2776" w:type="dxa"/>
          </w:tcPr>
          <w:p>
            <w:pPr/>
            <w:r>
              <w:t xml:space="preserve">Notification delivery</w:t>
            </w:r>
          </w:p>
        </w:tc>
        <w:tc>
          <w:tcPr>
            <w:tcW w:w="4408" w:type="dxa"/>
          </w:tcPr>
          <w:p>
            <w:pPr/>
            <w:r>
              <w:t xml:space="preserve">Delivered / sent per channel</w:t>
            </w:r>
          </w:p>
        </w:tc>
        <w:tc>
          <w:tcPr>
            <w:tcW w:w="2176" w:type="dxa"/>
          </w:tcPr>
          <w:p>
            <w:pPr/>
            <w:r>
              <w:t xml:space="preserve">Provider callbacks</w:t>
            </w:r>
          </w:p>
        </w:tc>
      </w:tr>
      <w:tr>
        <w:tc>
          <w:tcPr>
            <w:tcW w:w="2776" w:type="dxa"/>
          </w:tcPr>
          <w:p>
            <w:pPr/>
            <w:r>
              <w:t xml:space="preserve">Gross margin</w:t>
            </w:r>
          </w:p>
        </w:tc>
        <w:tc>
          <w:tcPr>
            <w:tcW w:w="4408" w:type="dxa"/>
          </w:tcPr>
          <w:p>
            <w:pPr/>
            <w:r>
              <w:t xml:space="preserve">(Revenue − hosting, gateway, messaging, support) / revenue</w:t>
            </w:r>
          </w:p>
        </w:tc>
        <w:tc>
          <w:tcPr>
            <w:tcW w:w="2176" w:type="dxa"/>
          </w:tcPr>
          <w:p>
            <w:pPr/>
            <w:r>
              <w:t xml:space="preserve">Finance</w:t>
            </w:r>
          </w:p>
        </w:tc>
      </w:tr>
      <w:tr>
        <w:tc>
          <w:tcPr>
            <w:tcW w:w="2776" w:type="dxa"/>
          </w:tcPr>
          <w:p>
            <w:pPr/>
            <w:r>
              <w:t xml:space="preserve">Renewal rate</w:t>
            </w:r>
          </w:p>
        </w:tc>
        <w:tc>
          <w:tcPr>
            <w:tcW w:w="4408" w:type="dxa"/>
          </w:tcPr>
          <w:p>
            <w:pPr/>
            <w:r>
              <w:t xml:space="preserve">Renewed schools / schools due</w:t>
            </w:r>
          </w:p>
        </w:tc>
        <w:tc>
          <w:tcPr>
            <w:tcW w:w="2176" w:type="dxa"/>
          </w:tcPr>
          <w:p>
            <w:pPr/>
            <w:r>
              <w:t xml:space="preserve">Billing</w:t>
            </w:r>
          </w:p>
        </w:tc>
      </w:tr>
    </w:tbl>
    <w:p>
      <w:pPr>
        <w:pStyle w:val="Heading2"/>
      </w:pPr>
      <w:r>
        <w:t xml:space="preserve">24. Risk register (top items)</w:t>
      </w:r>
    </w:p>
    <w:tbl>
      <w:tblPr>
        <w:tblStyle w:val="TableGrid"/>
        <w:tblW w:w="0" w:type="auto"/>
        <w:tblLayout w:type="fixed"/>
        <w:tblLook w:val="04A0" w:firstRow="1" w:lastRow="0" w:firstColumn="0" w:lastColumn="0" w:noHBand="0" w:noVBand="1"/>
      </w:tblPr>
      <w:tblGrid>
        <w:gridCol w:w="2951"/>
        <w:gridCol w:w="1641"/>
        <w:gridCol w:w="1081"/>
        <w:gridCol w:w="3687"/>
      </w:tblGrid>
      <w:tr>
        <w:trPr>
          <w:tblHeader/>
        </w:trPr>
        <w:tc>
          <w:tcPr>
            <w:tcW w:w="2951" w:type="dxa"/>
            <w:shd w:val="clear" w:color="auto" w:fill="F2F2F2"/>
          </w:tcPr>
          <w:p>
            <w:pPr/>
            <w:r>
              <w:t xml:space="preserve">Risk</w:t>
            </w:r>
          </w:p>
        </w:tc>
        <w:tc>
          <w:tcPr>
            <w:tcW w:w="1641" w:type="dxa"/>
            <w:shd w:val="clear" w:color="auto" w:fill="F2F2F2"/>
          </w:tcPr>
          <w:p>
            <w:pPr/>
            <w:r>
              <w:t xml:space="preserve">Likelihood</w:t>
            </w:r>
          </w:p>
        </w:tc>
        <w:tc>
          <w:tcPr>
            <w:tcW w:w="1081" w:type="dxa"/>
            <w:shd w:val="clear" w:color="auto" w:fill="F2F2F2"/>
          </w:tcPr>
          <w:p>
            <w:pPr/>
            <w:r>
              <w:t xml:space="preserve">Impact</w:t>
            </w:r>
          </w:p>
        </w:tc>
        <w:tc>
          <w:tcPr>
            <w:tcW w:w="3687" w:type="dxa"/>
            <w:shd w:val="clear" w:color="auto" w:fill="F2F2F2"/>
          </w:tcPr>
          <w:p>
            <w:pPr/>
            <w:r>
              <w:t xml:space="preserve">Mitigation</w:t>
            </w:r>
          </w:p>
        </w:tc>
      </w:tr>
      <w:tr>
        <w:tc>
          <w:tcPr>
            <w:tcW w:w="2951" w:type="dxa"/>
          </w:tcPr>
          <w:p>
            <w:pPr/>
            <w:r>
              <w:t xml:space="preserve">Weak differentiation in a crowded market</w:t>
            </w:r>
          </w:p>
        </w:tc>
        <w:tc>
          <w:tcPr>
            <w:tcW w:w="1641" w:type="dxa"/>
          </w:tcPr>
          <w:p>
            <w:pPr/>
            <w:r>
              <w:t xml:space="preserve">High</w:t>
            </w:r>
          </w:p>
        </w:tc>
        <w:tc>
          <w:tcPr>
            <w:tcW w:w="1081" w:type="dxa"/>
          </w:tcPr>
          <w:p>
            <w:pPr/>
            <w:r>
              <w:t xml:space="preserve">High</w:t>
            </w:r>
          </w:p>
        </w:tc>
        <w:tc>
          <w:tcPr>
            <w:tcW w:w="3687" w:type="dxa"/>
          </w:tcPr>
          <w:p>
            <w:pPr/>
            <w:r>
              <w:t xml:space="preserve">Narrow beachhead, onboarding speed, transparent pricing</w:t>
            </w:r>
          </w:p>
        </w:tc>
      </w:tr>
      <w:tr>
        <w:tc>
          <w:tcPr>
            <w:tcW w:w="2951" w:type="dxa"/>
          </w:tcPr>
          <w:p>
            <w:pPr/>
            <w:r>
              <w:t xml:space="preserve">Fee logic errors damage trust</w:t>
            </w:r>
          </w:p>
        </w:tc>
        <w:tc>
          <w:tcPr>
            <w:tcW w:w="1641" w:type="dxa"/>
          </w:tcPr>
          <w:p>
            <w:pPr/>
            <w:r>
              <w:t xml:space="preserve">Medium</w:t>
            </w:r>
          </w:p>
        </w:tc>
        <w:tc>
          <w:tcPr>
            <w:tcW w:w="1081" w:type="dxa"/>
          </w:tcPr>
          <w:p>
            <w:pPr/>
            <w:r>
              <w:t xml:space="preserve">High</w:t>
            </w:r>
          </w:p>
        </w:tc>
        <w:tc>
          <w:tcPr>
            <w:tcW w:w="3687" w:type="dxa"/>
          </w:tcPr>
          <w:p>
            <w:pPr/>
            <w:r>
              <w:t xml:space="preserve">Append-only ledger, accountant review, extensive tests</w:t>
            </w:r>
          </w:p>
        </w:tc>
      </w:tr>
      <w:tr>
        <w:tc>
          <w:tcPr>
            <w:tcW w:w="2951" w:type="dxa"/>
          </w:tcPr>
          <w:p>
            <w:pPr/>
            <w:r>
              <w:t xml:space="preserve">Cross-tenant data exposure</w:t>
            </w:r>
          </w:p>
        </w:tc>
        <w:tc>
          <w:tcPr>
            <w:tcW w:w="1641" w:type="dxa"/>
          </w:tcPr>
          <w:p>
            <w:pPr/>
            <w:r>
              <w:t xml:space="preserve">Low-medium</w:t>
            </w:r>
          </w:p>
        </w:tc>
        <w:tc>
          <w:tcPr>
            <w:tcW w:w="1081" w:type="dxa"/>
          </w:tcPr>
          <w:p>
            <w:pPr/>
            <w:r>
              <w:t xml:space="preserve">Severe</w:t>
            </w:r>
          </w:p>
        </w:tc>
        <w:tc>
          <w:tcPr>
            <w:tcW w:w="3687" w:type="dxa"/>
          </w:tcPr>
          <w:p>
            <w:pPr/>
            <w:r>
              <w:t xml:space="preserve">Entitlement checks, negative tests, audit</w:t>
            </w:r>
          </w:p>
        </w:tc>
      </w:tr>
      <w:tr>
        <w:tc>
          <w:tcPr>
            <w:tcW w:w="2951" w:type="dxa"/>
          </w:tcPr>
          <w:p>
            <w:pPr/>
            <w:r>
              <w:t xml:space="preserve">DPDP non-compliance for children's data</w:t>
            </w:r>
          </w:p>
        </w:tc>
        <w:tc>
          <w:tcPr>
            <w:tcW w:w="1641" w:type="dxa"/>
          </w:tcPr>
          <w:p>
            <w:pPr/>
            <w:r>
              <w:t xml:space="preserve">Medium</w:t>
            </w:r>
          </w:p>
        </w:tc>
        <w:tc>
          <w:tcPr>
            <w:tcW w:w="1081" w:type="dxa"/>
          </w:tcPr>
          <w:p>
            <w:pPr/>
            <w:r>
              <w:t xml:space="preserve">High</w:t>
            </w:r>
          </w:p>
        </w:tc>
        <w:tc>
          <w:tcPr>
            <w:tcW w:w="3687" w:type="dxa"/>
          </w:tcPr>
          <w:p>
            <w:pPr/>
            <w:r>
              <w:t xml:space="preserve">Legal review before the May 2027 obligations apply</w:t>
            </w:r>
          </w:p>
        </w:tc>
      </w:tr>
      <w:tr>
        <w:tc>
          <w:tcPr>
            <w:tcW w:w="2951" w:type="dxa"/>
          </w:tcPr>
          <w:p>
            <w:pPr/>
            <w:r>
              <w:t xml:space="preserve">Per-tenant database operations cost</w:t>
            </w:r>
          </w:p>
        </w:tc>
        <w:tc>
          <w:tcPr>
            <w:tcW w:w="1641" w:type="dxa"/>
          </w:tcPr>
          <w:p>
            <w:pPr/>
            <w:r>
              <w:t xml:space="preserve">Medium</w:t>
            </w:r>
          </w:p>
        </w:tc>
        <w:tc>
          <w:tcPr>
            <w:tcW w:w="1081" w:type="dxa"/>
          </w:tcPr>
          <w:p>
            <w:pPr/>
            <w:r>
              <w:t xml:space="preserve">Medium</w:t>
            </w:r>
          </w:p>
        </w:tc>
        <w:tc>
          <w:tcPr>
            <w:tcW w:w="3687" w:type="dxa"/>
          </w:tcPr>
          <w:p>
            <w:pPr/>
            <w:r>
              <w:t xml:space="preserve">Cost model, pool eviction, automation</w:t>
            </w:r>
          </w:p>
        </w:tc>
      </w:tr>
      <w:tr>
        <w:tc>
          <w:tcPr>
            <w:tcW w:w="2951" w:type="dxa"/>
          </w:tcPr>
          <w:p>
            <w:pPr/>
            <w:r>
              <w:t xml:space="preserve">Migration friction blocks adoption</w:t>
            </w:r>
          </w:p>
        </w:tc>
        <w:tc>
          <w:tcPr>
            <w:tcW w:w="1641" w:type="dxa"/>
          </w:tcPr>
          <w:p>
            <w:pPr/>
            <w:r>
              <w:t xml:space="preserve">High</w:t>
            </w:r>
          </w:p>
        </w:tc>
        <w:tc>
          <w:tcPr>
            <w:tcW w:w="1081" w:type="dxa"/>
          </w:tcPr>
          <w:p>
            <w:pPr/>
            <w:r>
              <w:t xml:space="preserve">High</w:t>
            </w:r>
          </w:p>
        </w:tc>
        <w:tc>
          <w:tcPr>
            <w:tcW w:w="3687" w:type="dxa"/>
          </w:tcPr>
          <w:p>
            <w:pPr/>
            <w:r>
              <w:t xml:space="preserve">Import tooling and assisted onboarding</w:t>
            </w:r>
          </w:p>
        </w:tc>
      </w:tr>
      <w:tr>
        <w:tc>
          <w:tcPr>
            <w:tcW w:w="2951" w:type="dxa"/>
          </w:tcPr>
          <w:p>
            <w:pPr/>
            <w:r>
              <w:t xml:space="preserve">Scope creep into extra modules</w:t>
            </w:r>
          </w:p>
        </w:tc>
        <w:tc>
          <w:tcPr>
            <w:tcW w:w="1641" w:type="dxa"/>
          </w:tcPr>
          <w:p>
            <w:pPr/>
            <w:r>
              <w:t xml:space="preserve">High</w:t>
            </w:r>
          </w:p>
        </w:tc>
        <w:tc>
          <w:tcPr>
            <w:tcW w:w="1081" w:type="dxa"/>
          </w:tcPr>
          <w:p>
            <w:pPr/>
            <w:r>
              <w:t xml:space="preserve">Medium</w:t>
            </w:r>
          </w:p>
        </w:tc>
        <w:tc>
          <w:tcPr>
            <w:tcW w:w="3687" w:type="dxa"/>
          </w:tcPr>
          <w:p>
            <w:pPr/>
            <w:r>
              <w:t xml:space="preserve">Written non-goals and phase gates</w:t>
            </w:r>
          </w:p>
        </w:tc>
      </w:tr>
      <w:tr>
        <w:tc>
          <w:tcPr>
            <w:tcW w:w="2951" w:type="dxa"/>
          </w:tcPr>
          <w:p>
            <w:pPr/>
            <w:r>
              <w:t xml:space="preserve">Messaging provider cost or policy changes</w:t>
            </w:r>
          </w:p>
        </w:tc>
        <w:tc>
          <w:tcPr>
            <w:tcW w:w="1641" w:type="dxa"/>
          </w:tcPr>
          <w:p>
            <w:pPr/>
            <w:r>
              <w:t xml:space="preserve">Medium</w:t>
            </w:r>
          </w:p>
        </w:tc>
        <w:tc>
          <w:tcPr>
            <w:tcW w:w="1081" w:type="dxa"/>
          </w:tcPr>
          <w:p>
            <w:pPr/>
            <w:r>
              <w:t xml:space="preserve">Medium</w:t>
            </w:r>
          </w:p>
        </w:tc>
        <w:tc>
          <w:tcPr>
            <w:tcW w:w="3687" w:type="dxa"/>
          </w:tcPr>
          <w:p>
            <w:pPr/>
            <w:r>
              <w:t xml:space="preserve">Usage-based pricing, channel fallback</w:t>
            </w:r>
          </w:p>
        </w:tc>
      </w:tr>
    </w:tbl>
    <w:p>
      <w:pPr>
        <w:pStyle w:val="Heading2"/>
      </w:pPr>
      <w:r>
        <w:t xml:space="preserve">25. Open questions</w:t>
      </w:r>
    </w:p>
    <w:p>
      <w:pPr/>
      <w:r>
        <w:rPr>
          <w:b/>
        </w:rPr>
        <w:t xml:space="preserve">Blocking MVP:</w:t>
      </w:r>
      <w:r>
        <w:t xml:space="preserve"> which board and states for the beachhead; whether classes 11–12 are in scope; minimum price that covers per-tenant cost; Vidya's DPDP role versus the school's; Java 25 / Spring Boot 4.1.1 dependency verification. </w:t>
      </w:r>
      <w:r>
        <w:rPr>
          <w:b/>
        </w:rPr>
        <w:t xml:space="preserve">Deferrable:</w:t>
      </w:r>
      <w:r>
        <w:t xml:space="preserve"> WhatsApp strategy, accounting integration format, regional language set, AI use cases, international expansion.</w:t>
      </w:r>
    </w:p>
    <w:p>
      <w:pPr>
        <w:pStyle w:val="Heading2"/>
      </w:pPr>
      <w:r>
        <w:t xml:space="preserve">26. Assumption register (starter)</w:t>
      </w:r>
    </w:p>
    <w:p>
      <w:pPr>
        <w:pStyle w:val="ListParagraph"/>
        <w:numPr>
          <w:ilvl w:val="0"/>
          <w:numId w:val="10"/>
        </w:numPr>
      </w:pPr>
      <w:r>
        <w:t xml:space="preserve">Private unaided schools of 300–1,500 students are the paying core. </w:t>
      </w:r>
      <w:r>
        <w:rPr>
          <w:i/>
        </w:rPr>
        <w:t xml:space="preserve">Validate by interviews.</w:t>
      </w:r>
    </w:p>
    <w:p>
      <w:pPr>
        <w:pStyle w:val="ListParagraph"/>
        <w:numPr>
          <w:ilvl w:val="0"/>
          <w:numId w:val="10"/>
        </w:numPr>
      </w:pPr>
      <w:r>
        <w:t xml:space="preserve">Fee collection is the top purchase trigger. </w:t>
      </w:r>
      <w:r>
        <w:rPr>
          <w:i/>
        </w:rPr>
        <w:t xml:space="preserve">Validate.</w:t>
      </w:r>
    </w:p>
    <w:p>
      <w:pPr>
        <w:pStyle w:val="ListParagraph"/>
        <w:numPr>
          <w:ilvl w:val="0"/>
          <w:numId w:val="10"/>
        </w:numPr>
      </w:pPr>
      <w:r>
        <w:t xml:space="preserve">Schools accept a hosted, per-school database model without extra cost concern. </w:t>
      </w:r>
      <w:r>
        <w:rPr>
          <w:i/>
        </w:rPr>
        <w:t xml:space="preserve">Validate through pricing.</w:t>
      </w:r>
    </w:p>
    <w:p>
      <w:pPr>
        <w:pStyle w:val="ListParagraph"/>
        <w:numPr>
          <w:ilvl w:val="0"/>
          <w:numId w:val="10"/>
        </w:numPr>
      </w:pPr>
      <w:r>
        <w:t xml:space="preserve">The supplied architecture description matches the repository. </w:t>
      </w:r>
      <w:r>
        <w:rPr>
          <w:i/>
        </w:rPr>
        <w:t xml:space="preserve">Verify in code.</w:t>
      </w:r>
    </w:p>
    <w:p>
      <w:pPr>
        <w:pStyle w:val="Heading2"/>
      </w:pPr>
      <w:r>
        <w:t xml:space="preserve">27. Recommendations and next steps</w:t>
      </w:r>
    </w:p>
    <w:p>
      <w:pPr>
        <w:pStyle w:val="ListParagraph"/>
        <w:numPr>
          <w:ilvl w:val="0"/>
          <w:numId w:val="11"/>
        </w:numPr>
      </w:pPr>
      <w:r>
        <w:rPr>
          <w:b/>
        </w:rPr>
        <w:t xml:space="preserve">Best initial segment:</w:t>
      </w:r>
      <w:r>
        <w:t xml:space="preserve"> medium private K–12 schools (300–1,500 students), single campus, one board, limited IT staff.</w:t>
      </w:r>
    </w:p>
    <w:p>
      <w:pPr>
        <w:pStyle w:val="ListParagraph"/>
        <w:numPr>
          <w:ilvl w:val="0"/>
          <w:numId w:val="11"/>
        </w:numPr>
      </w:pPr>
      <w:r>
        <w:rPr>
          <w:b/>
        </w:rPr>
        <w:t xml:space="preserve">Top three problems:</w:t>
      </w:r>
      <w:r>
        <w:t xml:space="preserve"> fast reliable onboarding and data import; accurate daily attendance with parent visibility; fee tracking and collection.</w:t>
      </w:r>
    </w:p>
    <w:p>
      <w:pPr>
        <w:pStyle w:val="ListParagraph"/>
        <w:numPr>
          <w:ilvl w:val="0"/>
          <w:numId w:val="11"/>
        </w:numPr>
      </w:pPr>
      <w:r>
        <w:rPr>
          <w:b/>
        </w:rPr>
        <w:t xml:space="preserve">First five capabilities:</w:t>
      </w:r>
      <w:r>
        <w:t xml:space="preserve"> secure tenant entitlement checks; bulk import; attendance with audit and calendar correctness; timetable fixes and substitutions; principal dashboard. Fees and parent portal immediately after.</w:t>
      </w:r>
    </w:p>
    <w:p>
      <w:pPr>
        <w:pStyle w:val="ListParagraph"/>
        <w:numPr>
          <w:ilvl w:val="0"/>
          <w:numId w:val="11"/>
        </w:numPr>
      </w:pPr>
      <w:r>
        <w:rPr>
          <w:b/>
        </w:rPr>
        <w:t xml:space="preserve">Differentiation to test:</w:t>
      </w:r>
      <w:r>
        <w:t xml:space="preserve"> transparent pricing combined with a days-not-weeks onboarding promise, backed by exportable data and strong tenant isolation.</w:t>
      </w:r>
    </w:p>
    <w:p>
      <w:pPr>
        <w:pStyle w:val="ListParagraph"/>
        <w:numPr>
          <w:ilvl w:val="0"/>
          <w:numId w:val="11"/>
        </w:numPr>
      </w:pPr>
      <w:r>
        <w:rPr>
          <w:b/>
        </w:rPr>
        <w:t xml:space="preserve">Next ten actions:</w:t>
      </w:r>
      <w:r>
        <w:t xml:space="preserve"> (1) verify the architecture and dependency compatibility in the repo; (2) interview 15–20 principals, owners and accountants; (3) recruit three pilot schools; (4) check official docs and independent reviews for Entab, Fedena, Teachmint, Vidyalaya, MyClassboard; (5) mine Reddit and school-admin communities for real complaints; (6) obtain legal review on DPDP role and consent design; (7) model per-tenant infrastructure cost; (8) fix timetable limitations 2–4 and 7; (9) design the guardian-linked portal authorization; (10) run the pricing experiment.</w:t>
      </w:r>
    </w:p>
    <w:p>
      <w:pPr/>
      <w:r>
        <w:rPr>
          <w:b/>
        </w:rPr>
        <w:t xml:space="preserve">Still to produce (not in this draft):</w:t>
      </w:r>
      <w:r>
        <w:t xml:space="preserve"> full requirement tables per module in the Section 7 format, competitor feature matrix with citations per cell, traceability matrix, glossary and MVP readiness checklist. Ask and I will extend this document.</w:t>
      </w:r>
    </w:p>
    <w:p>
      <w:pPr>
        <w:pStyle w:val="Heading2"/>
      </w:pPr>
      <w:r>
        <w:t xml:space="preserve">28. Source bibliography (retrieved 17 October 2026)</w:t>
      </w:r>
    </w:p>
    <w:p>
      <w:pPr>
        <w:pStyle w:val="ListParagraph"/>
        <w:numPr>
          <w:ilvl w:val="0"/>
          <w:numId w:val="12"/>
        </w:numPr>
      </w:pPr>
      <w:r>
        <w:t xml:space="preserve">UDISE+ 2024-25 analyses: https://educationforallinindia.com/analysing-distribution-of-udiseplus-2024-25-schools-enrolment-teachers-towards-nep-2020-goals/ ; https://insights.dataful.in/articles/government-schools-account-for-70-of-all-schools-but-less-than-50-enrolments ; UDISE+ 2025-26 analysis: https://educationforallinindia.com/wp-content/uploads/2026/09/Analysing-Distribution-of-UDISE-2025-26-Schools-Enrolment-and-Teachers-towards-NEP-2020-Goals.pdf (secondary, verify against the official release).</w:t>
      </w:r>
    </w:p>
    <w:p>
      <w:pPr>
        <w:pStyle w:val="ListParagraph"/>
        <w:numPr>
          <w:ilvl w:val="0"/>
          <w:numId w:val="12"/>
        </w:numPr>
      </w:pPr>
      <w:r>
        <w:t xml:space="preserve">DPDP Rules 2025: https://www.mondaq.com/regulatory-update-notification-of-the-digital-personal-data-protection-rules-2025/1713500 ; https://www.scconline.com/blog/post/2025/12/26/digital-personal-data-protection-rules-2025-key-highlights/ ; https://dsklegal.com/?p=26455 ; https://anantamias.com/current-affairs/dpdp-rules-2025-notified/?pdf=1 ; https://www.livelaw.in/amp/top-stories/digital-personal-data-protection-rules-2025-notified-309928 ; https://lakshmisri.com/insights/articles/digital-personal-data-protection-rules-2025-incremental-tweaks-and-the-way-ahead (all secondary; confirm against the Gazette notification).</w:t>
      </w:r>
    </w:p>
    <w:p>
      <w:pPr>
        <w:pStyle w:val="ListParagraph"/>
        <w:numPr>
          <w:ilvl w:val="0"/>
          <w:numId w:val="12"/>
        </w:numPr>
      </w:pPr>
      <w:r>
        <w:t xml:space="preserve">Competitor and pricing (vendor-authored or listing pages, low-medium confidence): https://www.fuzen.io/posts/school-management-software-comparison-fuzen-vs-entab-fedena-teachmint ; https://codingclave.com/blog/best-school-management-software-india-2026 ; https://www.softwareadvice.com/school-management/fedena-profile/ ; https://us.fitgap.com/products/022107/fedena ; https://www.trustradius.com/compare-products/fedena-vs-teachmint ; https://www.capterra.com/p/175717/CampusCare/ ; https://www.gartner.com/reviews/product/vidyalayaerp-2012477310 ; https://decentro.tech/blog/best-school-erp-software/ ; https://www.growthjockey.com/blogs/school-management-software.</w:t>
      </w:r>
    </w:p>
    <w:p>
      <w:pPr>
        <w:pStyle w:val="ListParagraph"/>
        <w:numPr>
          <w:ilvl w:val="0"/>
          <w:numId w:val="12"/>
        </w:numPr>
      </w:pPr>
      <w:r>
        <w:t xml:space="preserve">Market-size press pages (directional only): https://www.technavio.com/report/education-erp-for-private-institutions-market-industry-analysis ; https://marketsandmarkets.com/PressReleases/education-erp.asp ; https://www.researchandmarkets.com/reports/6227622/education-erp-private-institutions-market.</w:t>
      </w:r>
    </w:p>
    <w:p>
      <w:pPr>
        <w:pStyle w:val="Heading2"/>
      </w:pPr>
      <w:r>
        <w:t xml:space="preserve">29. v0.2 priority reassessment</w:t>
      </w:r>
    </w:p>
    <w:p>
      <w:pPr/>
      <w:r>
        <w:rPr>
          <w:b/>
        </w:rPr>
        <w:t xml:space="preserve">Scoring model.</w:t>
      </w:r>
      <w:r>
        <w:t xml:space="preserve"> Each capability is judged High, Medium or Low on eight criteria: customer impact, evidence strength, differentiation, revenue or retention effect, effort, technical risk, dependencies and operating cost. Customer impact and evidence strength count most. There are no numeric totals, because the inputs are judgments, not data.</w:t>
      </w:r>
    </w:p>
    <w:tbl>
      <w:tblPr>
        <w:tblStyle w:val="TableGrid"/>
        <w:tblW w:w="0" w:type="auto"/>
        <w:tblLayout w:type="fixed"/>
        <w:tblLook w:val="04A0" w:firstRow="1" w:lastRow="0" w:firstColumn="0" w:lastColumn="0" w:noHBand="0" w:noVBand="1"/>
      </w:tblPr>
      <w:tblGrid>
        <w:gridCol w:w="1337"/>
        <w:gridCol w:w="1232"/>
        <w:gridCol w:w="1337"/>
        <w:gridCol w:w="1337"/>
        <w:gridCol w:w="1108"/>
        <w:gridCol w:w="1337"/>
        <w:gridCol w:w="1671"/>
      </w:tblGrid>
      <w:tr>
        <w:trPr>
          <w:tblHeader/>
        </w:trPr>
        <w:tc>
          <w:tcPr>
            <w:tcW w:w="1337" w:type="dxa"/>
            <w:shd w:val="clear" w:color="auto" w:fill="F2F2F2"/>
          </w:tcPr>
          <w:p>
            <w:pPr/>
            <w:r>
              <w:t xml:space="preserve">Capability</w:t>
            </w:r>
          </w:p>
        </w:tc>
        <w:tc>
          <w:tcPr>
            <w:tcW w:w="1232" w:type="dxa"/>
            <w:shd w:val="clear" w:color="auto" w:fill="F2F2F2"/>
          </w:tcPr>
          <w:p>
            <w:pPr/>
            <w:r>
              <w:t xml:space="preserve">Customer impact</w:t>
            </w:r>
          </w:p>
        </w:tc>
        <w:tc>
          <w:tcPr>
            <w:tcW w:w="1337" w:type="dxa"/>
            <w:shd w:val="clear" w:color="auto" w:fill="F2F2F2"/>
          </w:tcPr>
          <w:p>
            <w:pPr/>
            <w:r>
              <w:t xml:space="preserve">Evidence</w:t>
            </w:r>
          </w:p>
        </w:tc>
        <w:tc>
          <w:tcPr>
            <w:tcW w:w="1337" w:type="dxa"/>
            <w:shd w:val="clear" w:color="auto" w:fill="F2F2F2"/>
          </w:tcPr>
          <w:p>
            <w:pPr/>
            <w:r>
              <w:t xml:space="preserve">Differentiation</w:t>
            </w:r>
          </w:p>
        </w:tc>
        <w:tc>
          <w:tcPr>
            <w:tcW w:w="1108" w:type="dxa"/>
            <w:shd w:val="clear" w:color="auto" w:fill="F2F2F2"/>
          </w:tcPr>
          <w:p>
            <w:pPr/>
            <w:r>
              <w:t xml:space="preserve">Effort and risk</w:t>
            </w:r>
          </w:p>
        </w:tc>
        <w:tc>
          <w:tcPr>
            <w:tcW w:w="1337" w:type="dxa"/>
            <w:shd w:val="clear" w:color="auto" w:fill="F2F2F2"/>
          </w:tcPr>
          <w:p>
            <w:pPr/>
            <w:r>
              <w:t xml:space="preserve">Tier</w:t>
            </w:r>
          </w:p>
        </w:tc>
        <w:tc>
          <w:tcPr>
            <w:tcW w:w="1671" w:type="dxa"/>
            <w:shd w:val="clear" w:color="auto" w:fill="F2F2F2"/>
          </w:tcPr>
          <w:p>
            <w:pPr/>
            <w:r>
              <w:t xml:space="preserve">Note</w:t>
            </w:r>
          </w:p>
        </w:tc>
      </w:tr>
      <w:tr>
        <w:tc>
          <w:tcPr>
            <w:tcW w:w="1337" w:type="dxa"/>
          </w:tcPr>
          <w:p>
            <w:pPr/>
            <w:r>
              <w:t xml:space="preserve">Tenant authorization and entitlement hardening</w:t>
            </w:r>
          </w:p>
        </w:tc>
        <w:tc>
          <w:tcPr>
            <w:tcW w:w="1232" w:type="dxa"/>
          </w:tcPr>
          <w:p>
            <w:pPr/>
            <w:r>
              <w:t xml:space="preserve">High</w:t>
            </w:r>
          </w:p>
        </w:tc>
        <w:tc>
          <w:tcPr>
            <w:tcW w:w="1337" w:type="dxa"/>
          </w:tcPr>
          <w:p>
            <w:pPr/>
            <w:r>
              <w:t xml:space="preserve">High (internal need; DPDP Rule 6)</w:t>
            </w:r>
          </w:p>
        </w:tc>
        <w:tc>
          <w:tcPr>
            <w:tcW w:w="1337" w:type="dxa"/>
          </w:tcPr>
          <w:p>
            <w:pPr/>
            <w:r>
              <w:t xml:space="preserve">Medium</w:t>
            </w:r>
          </w:p>
        </w:tc>
        <w:tc>
          <w:tcPr>
            <w:tcW w:w="1108" w:type="dxa"/>
          </w:tcPr>
          <w:p>
            <w:pPr/>
            <w:r>
              <w:t xml:space="preserve">Medium</w:t>
            </w:r>
          </w:p>
        </w:tc>
        <w:tc>
          <w:tcPr>
            <w:tcW w:w="1337" w:type="dxa"/>
          </w:tcPr>
          <w:p>
            <w:pPr/>
            <w:r>
              <w:t xml:space="preserve">P0</w:t>
            </w:r>
          </w:p>
        </w:tc>
        <w:tc>
          <w:tcPr>
            <w:tcW w:w="1671" w:type="dxa"/>
          </w:tcPr>
          <w:p>
            <w:pPr/>
            <w:r>
              <w:t xml:space="preserve">No school asks for it, but one cross-tenant leak ends the business</w:t>
            </w:r>
          </w:p>
        </w:tc>
      </w:tr>
      <w:tr>
        <w:tc>
          <w:tcPr>
            <w:tcW w:w="1337" w:type="dxa"/>
          </w:tcPr>
          <w:p>
            <w:pPr/>
            <w:r>
              <w:t xml:space="preserve">Onboarding and bulk import</w:t>
            </w:r>
          </w:p>
        </w:tc>
        <w:tc>
          <w:tcPr>
            <w:tcW w:w="1232" w:type="dxa"/>
          </w:tcPr>
          <w:p>
            <w:pPr/>
            <w:r>
              <w:t xml:space="preserve">High</w:t>
            </w:r>
          </w:p>
        </w:tc>
        <w:tc>
          <w:tcPr>
            <w:tcW w:w="1337" w:type="dxa"/>
          </w:tcPr>
          <w:p>
            <w:pPr/>
            <w:r>
              <w:t xml:space="preserve">Medium (Reported, unvalidated)</w:t>
            </w:r>
          </w:p>
        </w:tc>
        <w:tc>
          <w:tcPr>
            <w:tcW w:w="1337" w:type="dxa"/>
          </w:tcPr>
          <w:p>
            <w:pPr/>
            <w:r>
              <w:t xml:space="preserve">Medium-high</w:t>
            </w:r>
          </w:p>
        </w:tc>
        <w:tc>
          <w:tcPr>
            <w:tcW w:w="1108" w:type="dxa"/>
          </w:tcPr>
          <w:p>
            <w:pPr/>
            <w:r>
              <w:t xml:space="preserve">Medium</w:t>
            </w:r>
          </w:p>
        </w:tc>
        <w:tc>
          <w:tcPr>
            <w:tcW w:w="1337" w:type="dxa"/>
          </w:tcPr>
          <w:p>
            <w:pPr/>
            <w:r>
              <w:t xml:space="preserve">P0, conditional</w:t>
            </w:r>
          </w:p>
        </w:tc>
        <w:tc>
          <w:tcPr>
            <w:tcW w:w="1671" w:type="dxa"/>
          </w:tcPr>
          <w:p>
            <w:pPr/>
            <w:r>
              <w:t xml:space="preserve">Drops to P1 if interviews do not confirm migration pain</w:t>
            </w:r>
          </w:p>
        </w:tc>
      </w:tr>
      <w:tr>
        <w:tc>
          <w:tcPr>
            <w:tcW w:w="1337" w:type="dxa"/>
          </w:tcPr>
          <w:p>
            <w:pPr/>
            <w:r>
              <w:t xml:space="preserve">Attendance with audit and calendar fixes</w:t>
            </w:r>
          </w:p>
        </w:tc>
        <w:tc>
          <w:tcPr>
            <w:tcW w:w="1232" w:type="dxa"/>
          </w:tcPr>
          <w:p>
            <w:pPr/>
            <w:r>
              <w:t xml:space="preserve">Medium-high</w:t>
            </w:r>
          </w:p>
        </w:tc>
        <w:tc>
          <w:tcPr>
            <w:tcW w:w="1337" w:type="dxa"/>
          </w:tcPr>
          <w:p>
            <w:pPr/>
            <w:r>
              <w:t xml:space="preserve">Medium (table stakes)</w:t>
            </w:r>
          </w:p>
        </w:tc>
        <w:tc>
          <w:tcPr>
            <w:tcW w:w="1337" w:type="dxa"/>
          </w:tcPr>
          <w:p>
            <w:pPr/>
            <w:r>
              <w:t xml:space="preserve">Low</w:t>
            </w:r>
          </w:p>
        </w:tc>
        <w:tc>
          <w:tcPr>
            <w:tcW w:w="1108" w:type="dxa"/>
          </w:tcPr>
          <w:p>
            <w:pPr/>
            <w:r>
              <w:t xml:space="preserve">Low (exists)</w:t>
            </w:r>
          </w:p>
        </w:tc>
        <w:tc>
          <w:tcPr>
            <w:tcW w:w="1337" w:type="dxa"/>
          </w:tcPr>
          <w:p>
            <w:pPr/>
            <w:r>
              <w:t xml:space="preserve">P0</w:t>
            </w:r>
          </w:p>
        </w:tc>
        <w:tc>
          <w:tcPr>
            <w:tcW w:w="1671" w:type="dxa"/>
          </w:tcPr>
          <w:p>
            <w:pPr/>
            <w:r>
              <w:t xml:space="preserve">Existing; fix fifth-Saturday rules and audit trail only</w:t>
            </w:r>
          </w:p>
        </w:tc>
      </w:tr>
      <w:tr>
        <w:tc>
          <w:tcPr>
            <w:tcW w:w="1337" w:type="dxa"/>
          </w:tcPr>
          <w:p>
            <w:pPr/>
            <w:r>
              <w:t xml:space="preserve">Timetable reliability and substitutions</w:t>
            </w:r>
          </w:p>
        </w:tc>
        <w:tc>
          <w:tcPr>
            <w:tcW w:w="1232" w:type="dxa"/>
          </w:tcPr>
          <w:p>
            <w:pPr/>
            <w:r>
              <w:t xml:space="preserve">Medium</w:t>
            </w:r>
          </w:p>
        </w:tc>
        <w:tc>
          <w:tcPr>
            <w:tcW w:w="1337" w:type="dxa"/>
          </w:tcPr>
          <w:p>
            <w:pPr/>
            <w:r>
              <w:t xml:space="preserve">Low-medium</w:t>
            </w:r>
          </w:p>
        </w:tc>
        <w:tc>
          <w:tcPr>
            <w:tcW w:w="1337" w:type="dxa"/>
          </w:tcPr>
          <w:p>
            <w:pPr/>
            <w:r>
              <w:t xml:space="preserve">Low-medium</w:t>
            </w:r>
          </w:p>
        </w:tc>
        <w:tc>
          <w:tcPr>
            <w:tcW w:w="1108" w:type="dxa"/>
          </w:tcPr>
          <w:p>
            <w:pPr/>
            <w:r>
              <w:t xml:space="preserve">Medium</w:t>
            </w:r>
          </w:p>
        </w:tc>
        <w:tc>
          <w:tcPr>
            <w:tcW w:w="1337" w:type="dxa"/>
          </w:tcPr>
          <w:p>
            <w:pPr/>
            <w:r>
              <w:t xml:space="preserve">P1</w:t>
            </w:r>
          </w:p>
        </w:tc>
        <w:tc>
          <w:tcPr>
            <w:tcW w:w="1671" w:type="dxa"/>
          </w:tcPr>
          <w:p>
            <w:pPr/>
            <w:r>
              <w:t xml:space="preserve">Fix slot-ID and substitution-reference issues when a feature needs them</w:t>
            </w:r>
          </w:p>
        </w:tc>
      </w:tr>
      <w:tr>
        <w:tc>
          <w:tcPr>
            <w:tcW w:w="1337" w:type="dxa"/>
          </w:tcPr>
          <w:p>
            <w:pPr/>
            <w:r>
              <w:t xml:space="preserve">Principal dashboard</w:t>
            </w:r>
          </w:p>
        </w:tc>
        <w:tc>
          <w:tcPr>
            <w:tcW w:w="1232" w:type="dxa"/>
          </w:tcPr>
          <w:p>
            <w:pPr/>
            <w:r>
              <w:t xml:space="preserve">Medium</w:t>
            </w:r>
          </w:p>
        </w:tc>
        <w:tc>
          <w:tcPr>
            <w:tcW w:w="1337" w:type="dxa"/>
          </w:tcPr>
          <w:p>
            <w:pPr/>
            <w:r>
              <w:t xml:space="preserve">Low</w:t>
            </w:r>
          </w:p>
        </w:tc>
        <w:tc>
          <w:tcPr>
            <w:tcW w:w="1337" w:type="dxa"/>
          </w:tcPr>
          <w:p>
            <w:pPr/>
            <w:r>
              <w:t xml:space="preserve">Low</w:t>
            </w:r>
          </w:p>
        </w:tc>
        <w:tc>
          <w:tcPr>
            <w:tcW w:w="1108" w:type="dxa"/>
          </w:tcPr>
          <w:p>
            <w:pPr/>
            <w:r>
              <w:t xml:space="preserve">Low</w:t>
            </w:r>
          </w:p>
        </w:tc>
        <w:tc>
          <w:tcPr>
            <w:tcW w:w="1337" w:type="dxa"/>
          </w:tcPr>
          <w:p>
            <w:pPr/>
            <w:r>
              <w:t xml:space="preserve">P1</w:t>
            </w:r>
          </w:p>
        </w:tc>
        <w:tc>
          <w:tcPr>
            <w:tcW w:w="1671" w:type="dxa"/>
          </w:tcPr>
          <w:p>
            <w:pPr/>
            <w:r>
              <w:t xml:space="preserve">Design from interview answers</w:t>
            </w:r>
          </w:p>
        </w:tc>
      </w:tr>
      <w:tr>
        <w:tc>
          <w:tcPr>
            <w:tcW w:w="1337" w:type="dxa"/>
          </w:tcPr>
          <w:p>
            <w:pPr/>
            <w:r>
              <w:t xml:space="preserve">Fee management</w:t>
            </w:r>
          </w:p>
        </w:tc>
        <w:tc>
          <w:tcPr>
            <w:tcW w:w="1232" w:type="dxa"/>
          </w:tcPr>
          <w:p>
            <w:pPr/>
            <w:r>
              <w:t xml:space="preserve">High</w:t>
            </w:r>
          </w:p>
        </w:tc>
        <w:tc>
          <w:tcPr>
            <w:tcW w:w="1337" w:type="dxa"/>
          </w:tcPr>
          <w:p>
            <w:pPr/>
            <w:r>
              <w:t xml:space="preserve">Medium (consistent across vendors, all vendor-sourced)</w:t>
            </w:r>
          </w:p>
        </w:tc>
        <w:tc>
          <w:tcPr>
            <w:tcW w:w="1337" w:type="dxa"/>
          </w:tcPr>
          <w:p>
            <w:pPr/>
            <w:r>
              <w:t xml:space="preserve">Low unless a recovery workflow proves out</w:t>
            </w:r>
          </w:p>
        </w:tc>
        <w:tc>
          <w:tcPr>
            <w:tcW w:w="1108" w:type="dxa"/>
          </w:tcPr>
          <w:p>
            <w:pPr/>
            <w:r>
              <w:t xml:space="preserve">High</w:t>
            </w:r>
          </w:p>
        </w:tc>
        <w:tc>
          <w:tcPr>
            <w:tcW w:w="1337" w:type="dxa"/>
          </w:tcPr>
          <w:p>
            <w:pPr/>
            <w:r>
              <w:t xml:space="preserve">P0 for paid launch, not for design-partner pilot</w:t>
            </w:r>
          </w:p>
        </w:tc>
        <w:tc>
          <w:tcPr>
            <w:tcW w:w="1671" w:type="dxa"/>
          </w:tcPr>
          <w:p>
            <w:pPr/>
            <w:r>
              <w:t xml:space="preserve">Money correctness needs accountant review</w:t>
            </w:r>
          </w:p>
        </w:tc>
      </w:tr>
      <w:tr>
        <w:tc>
          <w:tcPr>
            <w:tcW w:w="1337" w:type="dxa"/>
          </w:tcPr>
          <w:p>
            <w:pPr/>
            <w:r>
              <w:t xml:space="preserve">Parent and student portals</w:t>
            </w:r>
          </w:p>
        </w:tc>
        <w:tc>
          <w:tcPr>
            <w:tcW w:w="1232" w:type="dxa"/>
          </w:tcPr>
          <w:p>
            <w:pPr/>
            <w:r>
              <w:t xml:space="preserve">Medium-high</w:t>
            </w:r>
          </w:p>
        </w:tc>
        <w:tc>
          <w:tcPr>
            <w:tcW w:w="1337" w:type="dxa"/>
          </w:tcPr>
          <w:p>
            <w:pPr/>
            <w:r>
              <w:t xml:space="preserve">Medium</w:t>
            </w:r>
          </w:p>
        </w:tc>
        <w:tc>
          <w:tcPr>
            <w:tcW w:w="1337" w:type="dxa"/>
          </w:tcPr>
          <w:p>
            <w:pPr/>
            <w:r>
              <w:t xml:space="preserve">Low</w:t>
            </w:r>
          </w:p>
        </w:tc>
        <w:tc>
          <w:tcPr>
            <w:tcW w:w="1108" w:type="dxa"/>
          </w:tcPr>
          <w:p>
            <w:pPr/>
            <w:r>
              <w:t xml:space="preserve">High (consent design)</w:t>
            </w:r>
          </w:p>
        </w:tc>
        <w:tc>
          <w:tcPr>
            <w:tcW w:w="1337" w:type="dxa"/>
          </w:tcPr>
          <w:p>
            <w:pPr/>
            <w:r>
              <w:t xml:space="preserve">P1</w:t>
            </w:r>
          </w:p>
        </w:tc>
        <w:tc>
          <w:tcPr>
            <w:tcW w:w="1671" w:type="dxa"/>
          </w:tcPr>
          <w:p>
            <w:pPr/>
            <w:r>
              <w:t xml:space="preserve">Start with attendance and fee notifications; legal review first</w:t>
            </w:r>
          </w:p>
        </w:tc>
      </w:tr>
    </w:tbl>
    <w:p>
      <w:pPr/>
      <w:r>
        <w:rPr>
          <w:b/>
        </w:rPr>
        <w:t xml:space="preserve">P2:</w:t>
      </w:r>
      <w:r>
        <w:t xml:space="preserve"> multi-branch analytics, data export, electives (P1 if classes 11–12 are in scope). </w:t>
      </w:r>
      <w:r>
        <w:rPr>
          <w:b/>
        </w:rPr>
        <w:t xml:space="preserve">P3:</w:t>
      </w:r>
      <w:r>
        <w:t xml:space="preserve"> configurable report templates, partner API, AI features.</w:t>
      </w:r>
    </w:p>
    <w:p>
      <w:pPr/>
      <w:r>
        <w:rPr>
          <w:b/>
        </w:rPr>
        <w:t xml:space="preserve">Do not build yet:</w:t>
      </w:r>
      <w:r>
        <w:t xml:space="preserve"> admissions CRM, library, transport and bus tracking, hostel, payroll, inventory, alumni, learning-management or online classes, AI assistants, public API.</w:t>
      </w:r>
    </w:p>
    <w:p>
      <w:pPr>
        <w:pStyle w:val="Heading2"/>
      </w:pPr>
      <w:r>
        <w:t xml:space="preserve">30. Known limitations, reclassified</w:t>
      </w:r>
    </w:p>
    <w:tbl>
      <w:tblPr>
        <w:tblStyle w:val="TableGrid"/>
        <w:tblW w:w="0" w:type="auto"/>
        <w:tblLayout w:type="fixed"/>
        <w:tblLook w:val="04A0" w:firstRow="1" w:lastRow="0" w:firstColumn="0" w:lastColumn="0" w:noHBand="0" w:noVBand="1"/>
      </w:tblPr>
      <w:tblGrid>
        <w:gridCol w:w="3102"/>
        <w:gridCol w:w="3197"/>
        <w:gridCol w:w="3061"/>
      </w:tblGrid>
      <w:tr>
        <w:trPr>
          <w:tblHeader/>
        </w:trPr>
        <w:tc>
          <w:tcPr>
            <w:tcW w:w="3102" w:type="dxa"/>
            <w:shd w:val="clear" w:color="auto" w:fill="F2F2F2"/>
          </w:tcPr>
          <w:p>
            <w:pPr/>
            <w:r>
              <w:t xml:space="preserve">Limitation</w:t>
            </w:r>
          </w:p>
        </w:tc>
        <w:tc>
          <w:tcPr>
            <w:tcW w:w="3197" w:type="dxa"/>
            <w:shd w:val="clear" w:color="auto" w:fill="F2F2F2"/>
          </w:tcPr>
          <w:p>
            <w:pPr/>
            <w:r>
              <w:t xml:space="preserve">Class</w:t>
            </w:r>
          </w:p>
        </w:tc>
        <w:tc>
          <w:tcPr>
            <w:tcW w:w="3061" w:type="dxa"/>
            <w:shd w:val="clear" w:color="auto" w:fill="F2F2F2"/>
          </w:tcPr>
          <w:p>
            <w:pPr/>
            <w:r>
              <w:t xml:space="preserve">Reason</w:t>
            </w:r>
          </w:p>
        </w:tc>
      </w:tr>
      <w:tr>
        <w:tc>
          <w:tcPr>
            <w:tcW w:w="3102" w:type="dxa"/>
          </w:tcPr>
          <w:p>
            <w:pPr/>
            <w:r>
              <w:t xml:space="preserve">No electives or split batches</w:t>
            </w:r>
          </w:p>
        </w:tc>
        <w:tc>
          <w:tcPr>
            <w:tcW w:w="3197" w:type="dxa"/>
          </w:tcPr>
          <w:p>
            <w:pPr/>
            <w:r>
              <w:t xml:space="preserve">Important enhancement; becomes a confirmed MVP blocker only if the beachhead includes classes 11–12</w:t>
            </w:r>
          </w:p>
        </w:tc>
        <w:tc>
          <w:tcPr>
            <w:tcW w:w="3061" w:type="dxa"/>
          </w:tcPr>
          <w:p>
            <w:pPr/>
            <w:r>
              <w:t xml:space="preserve">Decide from interviews</w:t>
            </w:r>
          </w:p>
        </w:tc>
      </w:tr>
      <w:tr>
        <w:tc>
          <w:tcPr>
            <w:tcW w:w="3102" w:type="dxa"/>
          </w:tcPr>
          <w:p>
            <w:pPr/>
            <w:r>
              <w:t xml:space="preserve">Bulk timetable replace regenerates slot IDs</w:t>
            </w:r>
          </w:p>
        </w:tc>
        <w:tc>
          <w:tcPr>
            <w:tcW w:w="3197" w:type="dxa"/>
          </w:tcPr>
          <w:p>
            <w:pPr/>
            <w:r>
              <w:t xml:space="preserve">Important enhancement</w:t>
            </w:r>
          </w:p>
        </w:tc>
        <w:tc>
          <w:tcPr>
            <w:tcW w:w="3061" w:type="dxa"/>
          </w:tcPr>
          <w:p>
            <w:pPr/>
            <w:r>
              <w:t xml:space="preserve">Fix before features that reference slots</w:t>
            </w:r>
          </w:p>
        </w:tc>
      </w:tr>
      <w:tr>
        <w:tc>
          <w:tcPr>
            <w:tcW w:w="3102" w:type="dxa"/>
          </w:tcPr>
          <w:p>
            <w:pPr/>
            <w:r>
              <w:t xml:space="preserve">Holiday-aware timetable views incomplete</w:t>
            </w:r>
          </w:p>
        </w:tc>
        <w:tc>
          <w:tcPr>
            <w:tcW w:w="3197" w:type="dxa"/>
          </w:tcPr>
          <w:p>
            <w:pPr/>
            <w:r>
              <w:t xml:space="preserve">Important enhancement</w:t>
            </w:r>
          </w:p>
        </w:tc>
        <w:tc>
          <w:tcPr>
            <w:tcW w:w="3061" w:type="dxa"/>
          </w:tcPr>
          <w:p>
            <w:pPr/>
            <w:r>
              <w:t xml:space="preserve">Visible to teachers daily</w:t>
            </w:r>
          </w:p>
        </w:tc>
      </w:tr>
      <w:tr>
        <w:tc>
          <w:tcPr>
            <w:tcW w:w="3102" w:type="dxa"/>
          </w:tcPr>
          <w:p>
            <w:pPr/>
            <w:r>
              <w:t xml:space="preserve">Substitutions use a natural-key slot reference</w:t>
            </w:r>
          </w:p>
        </w:tc>
        <w:tc>
          <w:tcPr>
            <w:tcW w:w="3197" w:type="dxa"/>
          </w:tcPr>
          <w:p>
            <w:pPr/>
            <w:r>
              <w:t xml:space="preserve">Requires investigation</w:t>
            </w:r>
          </w:p>
        </w:tc>
        <w:tc>
          <w:tcPr>
            <w:tcW w:w="3061" w:type="dxa"/>
          </w:tcPr>
          <w:p>
            <w:pPr/>
            <w:r>
              <w:t xml:space="preserve">Test what happens to substitutions after a timetable edit</w:t>
            </w:r>
          </w:p>
        </w:tc>
      </w:tr>
      <w:tr>
        <w:tc>
          <w:tcPr>
            <w:tcW w:w="3102" w:type="dxa"/>
          </w:tcPr>
          <w:p>
            <w:pPr/>
            <w:r>
              <w:t xml:space="preserve">Student and parent access denied</w:t>
            </w:r>
          </w:p>
        </w:tc>
        <w:tc>
          <w:tcPr>
            <w:tcW w:w="3197" w:type="dxa"/>
          </w:tcPr>
          <w:p>
            <w:pPr/>
            <w:r>
              <w:t xml:space="preserve">Future capability for the pilot; a confirmed blocker for any parent-facing launch</w:t>
            </w:r>
          </w:p>
        </w:tc>
        <w:tc>
          <w:tcPr>
            <w:tcW w:w="3061" w:type="dxa"/>
          </w:tcPr>
          <w:p>
            <w:pPr/>
            <w:r>
              <w:t xml:space="preserve">Needs guardian-to-student links and consent design</w:t>
            </w:r>
          </w:p>
        </w:tc>
      </w:tr>
      <w:tr>
        <w:tc>
          <w:tcPr>
            <w:tcW w:w="3102" w:type="dxa"/>
          </w:tcPr>
          <w:p>
            <w:pPr/>
            <w:r>
              <w:t xml:space="preserve">Non-working-day override needs role and reason</w:t>
            </w:r>
          </w:p>
        </w:tc>
        <w:tc>
          <w:tcPr>
            <w:tcW w:w="3197" w:type="dxa"/>
          </w:tcPr>
          <w:p>
            <w:pPr/>
            <w:r>
              <w:t xml:space="preserve">Existing control, keep</w:t>
            </w:r>
          </w:p>
        </w:tc>
        <w:tc>
          <w:tcPr>
            <w:tcW w:w="3061" w:type="dxa"/>
          </w:tcPr>
          <w:p>
            <w:pPr/>
            <w:r>
              <w:t xml:space="preserve">Not a limitation</w:t>
            </w:r>
          </w:p>
        </w:tc>
      </w:tr>
      <w:tr>
        <w:tc>
          <w:tcPr>
            <w:tcW w:w="3102" w:type="dxa"/>
          </w:tcPr>
          <w:p>
            <w:pPr/>
            <w:r>
              <w:t xml:space="preserve">Fifth-Saturday pattern</w:t>
            </w:r>
          </w:p>
        </w:tc>
        <w:tc>
          <w:tcPr>
            <w:tcW w:w="3197" w:type="dxa"/>
          </w:tcPr>
          <w:p>
            <w:pPr/>
            <w:r>
              <w:t xml:space="preserve">Requires investigation</w:t>
            </w:r>
          </w:p>
        </w:tc>
        <w:tc>
          <w:tcPr>
            <w:tcW w:w="3061" w:type="dxa"/>
          </w:tcPr>
          <w:p>
            <w:pPr/>
            <w:r>
              <w:t xml:space="preserve">Add tests across month and year boundaries; blocker if they fail</w:t>
            </w:r>
          </w:p>
        </w:tc>
      </w:tr>
      <w:tr>
        <w:tc>
          <w:tcPr>
            <w:tcW w:w="3102" w:type="dxa"/>
          </w:tcPr>
          <w:p>
            <w:pPr/>
            <w:r>
              <w:t xml:space="preserve">Asia/Kolkata default and injected Clock</w:t>
            </w:r>
          </w:p>
        </w:tc>
        <w:tc>
          <w:tcPr>
            <w:tcW w:w="3197" w:type="dxa"/>
          </w:tcPr>
          <w:p>
            <w:pPr/>
            <w:r>
              <w:t xml:space="preserve">Not a limitation, keep</w:t>
            </w:r>
          </w:p>
        </w:tc>
        <w:tc>
          <w:tcPr>
            <w:tcW w:w="3061" w:type="dxa"/>
          </w:tcPr>
          <w:p>
            <w:pPr/>
            <w:r>
              <w:t xml:space="preserve">Enables deterministic tests</w:t>
            </w:r>
          </w:p>
        </w:tc>
      </w:tr>
    </w:tbl>
    <w:p>
      <w:pPr>
        <w:pStyle w:val="Heading2"/>
      </w:pPr>
      <w:r>
        <w:t xml:space="preserve">31. Assumption register</w:t>
      </w:r>
    </w:p>
    <w:tbl>
      <w:tblPr>
        <w:tblStyle w:val="TableGrid"/>
        <w:tblW w:w="0" w:type="auto"/>
        <w:tblLayout w:type="fixed"/>
        <w:tblLook w:val="04A0" w:firstRow="1" w:lastRow="0" w:firstColumn="0" w:lastColumn="0" w:noHBand="0" w:noVBand="1"/>
      </w:tblPr>
      <w:tblGrid>
        <w:gridCol w:w="720"/>
        <w:gridCol w:w="2901"/>
        <w:gridCol w:w="1470"/>
        <w:gridCol w:w="1384"/>
        <w:gridCol w:w="1659"/>
        <w:gridCol w:w="1226"/>
      </w:tblGrid>
      <w:tr>
        <w:trPr>
          <w:tblHeader/>
        </w:trPr>
        <w:tc>
          <w:tcPr>
            <w:tcW w:w="720" w:type="dxa"/>
            <w:shd w:val="clear" w:color="auto" w:fill="F2F2F2"/>
          </w:tcPr>
          <w:p>
            <w:pPr/>
            <w:r>
              <w:t xml:space="preserve">ID</w:t>
            </w:r>
          </w:p>
        </w:tc>
        <w:tc>
          <w:tcPr>
            <w:tcW w:w="2901" w:type="dxa"/>
            <w:shd w:val="clear" w:color="auto" w:fill="F2F2F2"/>
          </w:tcPr>
          <w:p>
            <w:pPr/>
            <w:r>
              <w:t xml:space="preserve">Assumption</w:t>
            </w:r>
          </w:p>
        </w:tc>
        <w:tc>
          <w:tcPr>
            <w:tcW w:w="1470" w:type="dxa"/>
            <w:shd w:val="clear" w:color="auto" w:fill="F2F2F2"/>
          </w:tcPr>
          <w:p>
            <w:pPr/>
            <w:r>
              <w:t xml:space="preserve">Evidence</w:t>
            </w:r>
          </w:p>
        </w:tc>
        <w:tc>
          <w:tcPr>
            <w:tcW w:w="1384" w:type="dxa"/>
            <w:shd w:val="clear" w:color="auto" w:fill="F2F2F2"/>
          </w:tcPr>
          <w:p>
            <w:pPr/>
            <w:r>
              <w:t xml:space="preserve">Confidence</w:t>
            </w:r>
          </w:p>
        </w:tc>
        <w:tc>
          <w:tcPr>
            <w:tcW w:w="1659" w:type="dxa"/>
            <w:shd w:val="clear" w:color="auto" w:fill="F2F2F2"/>
          </w:tcPr>
          <w:p>
            <w:pPr/>
            <w:r>
              <w:t xml:space="preserve">Validation</w:t>
            </w:r>
          </w:p>
        </w:tc>
        <w:tc>
          <w:tcPr>
            <w:tcW w:w="1226" w:type="dxa"/>
            <w:shd w:val="clear" w:color="auto" w:fill="F2F2F2"/>
          </w:tcPr>
          <w:p>
            <w:pPr/>
            <w:r>
              <w:t xml:space="preserve">Decide by</w:t>
            </w:r>
          </w:p>
        </w:tc>
      </w:tr>
      <w:tr>
        <w:tc>
          <w:tcPr>
            <w:tcW w:w="720" w:type="dxa"/>
          </w:tcPr>
          <w:p>
            <w:pPr/>
            <w:r>
              <w:t xml:space="preserve">A-01</w:t>
            </w:r>
          </w:p>
        </w:tc>
        <w:tc>
          <w:tcPr>
            <w:tcW w:w="2901" w:type="dxa"/>
          </w:tcPr>
          <w:p>
            <w:pPr/>
            <w:r>
              <w:t xml:space="preserve">Medium single-campus private schools (300–1,500 students) are the right first segment</w:t>
            </w:r>
          </w:p>
        </w:tc>
        <w:tc>
          <w:tcPr>
            <w:tcW w:w="1470" w:type="dxa"/>
          </w:tcPr>
          <w:p>
            <w:pPr/>
            <w:r>
              <w:t xml:space="preserve">Author judgment only</w:t>
            </w:r>
          </w:p>
        </w:tc>
        <w:tc>
          <w:tcPr>
            <w:tcW w:w="1384" w:type="dxa"/>
          </w:tcPr>
          <w:p>
            <w:pPr/>
            <w:r>
              <w:t xml:space="preserve">Low</w:t>
            </w:r>
          </w:p>
        </w:tc>
        <w:tc>
          <w:tcPr>
            <w:tcW w:w="1659" w:type="dxa"/>
          </w:tcPr>
          <w:p>
            <w:pPr/>
            <w:r>
              <w:t xml:space="preserve">8–12 interviews including branch groups</w:t>
            </w:r>
          </w:p>
        </w:tc>
        <w:tc>
          <w:tcPr>
            <w:tcW w:w="1226" w:type="dxa"/>
          </w:tcPr>
          <w:p>
            <w:pPr/>
            <w:r>
              <w:t xml:space="preserve">End of Phase 0</w:t>
            </w:r>
          </w:p>
        </w:tc>
      </w:tr>
      <w:tr>
        <w:tc>
          <w:tcPr>
            <w:tcW w:w="720" w:type="dxa"/>
          </w:tcPr>
          <w:p>
            <w:pPr/>
            <w:r>
              <w:t xml:space="preserve">A-02</w:t>
            </w:r>
          </w:p>
        </w:tc>
        <w:tc>
          <w:tcPr>
            <w:tcW w:w="2901" w:type="dxa"/>
          </w:tcPr>
          <w:p>
            <w:pPr/>
            <w:r>
              <w:t xml:space="preserve">Fee handling is the top purchase trigger</w:t>
            </w:r>
          </w:p>
        </w:tc>
        <w:tc>
          <w:tcPr>
            <w:tcW w:w="1470" w:type="dxa"/>
          </w:tcPr>
          <w:p>
            <w:pPr/>
            <w:r>
              <w:t xml:space="preserve">Vendor claims only</w:t>
            </w:r>
          </w:p>
        </w:tc>
        <w:tc>
          <w:tcPr>
            <w:tcW w:w="1384" w:type="dxa"/>
          </w:tcPr>
          <w:p>
            <w:pPr/>
            <w:r>
              <w:t xml:space="preserve">Low</w:t>
            </w:r>
          </w:p>
        </w:tc>
        <w:tc>
          <w:tcPr>
            <w:tcW w:w="1659" w:type="dxa"/>
          </w:tcPr>
          <w:p>
            <w:pPr/>
            <w:r>
              <w:t xml:space="preserve">Interview questions 1 and 11</w:t>
            </w:r>
          </w:p>
        </w:tc>
        <w:tc>
          <w:tcPr>
            <w:tcW w:w="1226" w:type="dxa"/>
          </w:tcPr>
          <w:p>
            <w:pPr/>
            <w:r>
              <w:t xml:space="preserve">End of Phase 0</w:t>
            </w:r>
          </w:p>
        </w:tc>
      </w:tr>
      <w:tr>
        <w:tc>
          <w:tcPr>
            <w:tcW w:w="720" w:type="dxa"/>
          </w:tcPr>
          <w:p>
            <w:pPr/>
            <w:r>
              <w:t xml:space="preserve">A-03</w:t>
            </w:r>
          </w:p>
        </w:tc>
        <w:tc>
          <w:tcPr>
            <w:tcW w:w="2901" w:type="dxa"/>
          </w:tcPr>
          <w:p>
            <w:pPr/>
            <w:r>
              <w:t xml:space="preserve">Schools will pay more than a free tier costs</w:t>
            </w:r>
          </w:p>
        </w:tc>
        <w:tc>
          <w:tcPr>
            <w:tcW w:w="1470" w:type="dxa"/>
          </w:tcPr>
          <w:p>
            <w:pPr/>
            <w:r>
              <w:t xml:space="preserve">Free plan reported at Teachmint; prices span Rs 0–1,500 per student per year</w:t>
            </w:r>
          </w:p>
        </w:tc>
        <w:tc>
          <w:tcPr>
            <w:tcW w:w="1384" w:type="dxa"/>
          </w:tcPr>
          <w:p>
            <w:pPr/>
            <w:r>
              <w:t xml:space="preserve">Low</w:t>
            </w:r>
          </w:p>
        </w:tc>
        <w:tc>
          <w:tcPr>
            <w:tcW w:w="1659" w:type="dxa"/>
          </w:tcPr>
          <w:p>
            <w:pPr/>
            <w:r>
              <w:t xml:space="preserve">Pricing experiment</w:t>
            </w:r>
          </w:p>
        </w:tc>
        <w:tc>
          <w:tcPr>
            <w:tcW w:w="1226" w:type="dxa"/>
          </w:tcPr>
          <w:p>
            <w:pPr/>
            <w:r>
              <w:t xml:space="preserve">Before any price is published</w:t>
            </w:r>
          </w:p>
        </w:tc>
      </w:tr>
      <w:tr>
        <w:tc>
          <w:tcPr>
            <w:tcW w:w="720" w:type="dxa"/>
          </w:tcPr>
          <w:p>
            <w:pPr/>
            <w:r>
              <w:t xml:space="preserve">A-04</w:t>
            </w:r>
          </w:p>
        </w:tc>
        <w:tc>
          <w:tcPr>
            <w:tcW w:w="2901" w:type="dxa"/>
          </w:tcPr>
          <w:p>
            <w:pPr/>
            <w:r>
              <w:t xml:space="preserve">Migration pain is large enough to differentiate</w:t>
            </w:r>
          </w:p>
        </w:tc>
        <w:tc>
          <w:tcPr>
            <w:tcW w:w="1470" w:type="dxa"/>
          </w:tcPr>
          <w:p>
            <w:pPr/>
            <w:r>
              <w:t xml:space="preserve">Reported for Fedena</w:t>
            </w:r>
          </w:p>
        </w:tc>
        <w:tc>
          <w:tcPr>
            <w:tcW w:w="1384" w:type="dxa"/>
          </w:tcPr>
          <w:p>
            <w:pPr/>
            <w:r>
              <w:t xml:space="preserve">Low</w:t>
            </w:r>
          </w:p>
        </w:tc>
        <w:tc>
          <w:tcPr>
            <w:tcW w:w="1659" w:type="dxa"/>
          </w:tcPr>
          <w:p>
            <w:pPr/>
            <w:r>
              <w:t xml:space="preserve">Ask about the last migration; measure time to first attendance in pilot</w:t>
            </w:r>
          </w:p>
        </w:tc>
        <w:tc>
          <w:tcPr>
            <w:tcW w:w="1226" w:type="dxa"/>
          </w:tcPr>
          <w:p>
            <w:pPr/>
            <w:r>
              <w:t xml:space="preserve">End of Phase 0</w:t>
            </w:r>
          </w:p>
        </w:tc>
      </w:tr>
      <w:tr>
        <w:tc>
          <w:tcPr>
            <w:tcW w:w="720" w:type="dxa"/>
          </w:tcPr>
          <w:p>
            <w:pPr/>
            <w:r>
              <w:t xml:space="preserve">A-05</w:t>
            </w:r>
          </w:p>
        </w:tc>
        <w:tc>
          <w:tcPr>
            <w:tcW w:w="2901" w:type="dxa"/>
          </w:tcPr>
          <w:p>
            <w:pPr/>
            <w:r>
              <w:t xml:space="preserve">The DPDP deadline makes schools value processor controls</w:t>
            </w:r>
          </w:p>
        </w:tc>
        <w:tc>
          <w:tcPr>
            <w:tcW w:w="1470" w:type="dxa"/>
          </w:tcPr>
          <w:p>
            <w:pPr/>
            <w:r>
              <w:t xml:space="preserve">Deadline verified; demand not</w:t>
            </w:r>
          </w:p>
        </w:tc>
        <w:tc>
          <w:tcPr>
            <w:tcW w:w="1384" w:type="dxa"/>
          </w:tcPr>
          <w:p>
            <w:pPr/>
            <w:r>
              <w:t xml:space="preserve">Low-medium</w:t>
            </w:r>
          </w:p>
        </w:tc>
        <w:tc>
          <w:tcPr>
            <w:tcW w:w="1659" w:type="dxa"/>
          </w:tcPr>
          <w:p>
            <w:pPr/>
            <w:r>
              <w:t xml:space="preserve">Interview question 12; legal review</w:t>
            </w:r>
          </w:p>
        </w:tc>
        <w:tc>
          <w:tcPr>
            <w:tcW w:w="1226" w:type="dxa"/>
          </w:tcPr>
          <w:p>
            <w:pPr/>
            <w:r>
              <w:t xml:space="preserve">Before the portal is built</w:t>
            </w:r>
          </w:p>
        </w:tc>
      </w:tr>
      <w:tr>
        <w:tc>
          <w:tcPr>
            <w:tcW w:w="720" w:type="dxa"/>
          </w:tcPr>
          <w:p>
            <w:pPr/>
            <w:r>
              <w:t xml:space="preserve">A-06</w:t>
            </w:r>
          </w:p>
        </w:tc>
        <w:tc>
          <w:tcPr>
            <w:tcW w:w="2901" w:type="dxa"/>
          </w:tcPr>
          <w:p>
            <w:pPr/>
            <w:r>
              <w:t xml:space="preserve">Per-tenant database cost fits the target price</w:t>
            </w:r>
          </w:p>
        </w:tc>
        <w:tc>
          <w:tcPr>
            <w:tcW w:w="1470" w:type="dxa"/>
          </w:tcPr>
          <w:p>
            <w:pPr/>
            <w:r>
              <w:t xml:space="preserve">None</w:t>
            </w:r>
          </w:p>
        </w:tc>
        <w:tc>
          <w:tcPr>
            <w:tcW w:w="1384" w:type="dxa"/>
          </w:tcPr>
          <w:p>
            <w:pPr/>
            <w:r>
              <w:t xml:space="preserve">Unknown</w:t>
            </w:r>
          </w:p>
        </w:tc>
        <w:tc>
          <w:tcPr>
            <w:tcW w:w="1659" w:type="dxa"/>
          </w:tcPr>
          <w:p>
            <w:pPr/>
            <w:r>
              <w:t xml:space="preserve">Cost model at 50 and 200 tenants</w:t>
            </w:r>
          </w:p>
        </w:tc>
        <w:tc>
          <w:tcPr>
            <w:tcW w:w="1226" w:type="dxa"/>
          </w:tcPr>
          <w:p>
            <w:pPr/>
            <w:r>
              <w:t xml:space="preserve">Before pricing</w:t>
            </w:r>
          </w:p>
        </w:tc>
      </w:tr>
      <w:tr>
        <w:tc>
          <w:tcPr>
            <w:tcW w:w="720" w:type="dxa"/>
          </w:tcPr>
          <w:p>
            <w:pPr/>
            <w:r>
              <w:t xml:space="preserve">A-07</w:t>
            </w:r>
          </w:p>
        </w:tc>
        <w:tc>
          <w:tcPr>
            <w:tcW w:w="2901" w:type="dxa"/>
          </w:tcPr>
          <w:p>
            <w:pPr/>
            <w:r>
              <w:t xml:space="preserve">Java 25 and Spring Boot 4.1.x build cleanly with every dependency</w:t>
            </w:r>
          </w:p>
        </w:tc>
        <w:tc>
          <w:tcPr>
            <w:tcW w:w="1470" w:type="dxa"/>
          </w:tcPr>
          <w:p>
            <w:pPr/>
            <w:r>
              <w:t xml:space="preserve">Official page says compatible to Java 25</w:t>
            </w:r>
          </w:p>
        </w:tc>
        <w:tc>
          <w:tcPr>
            <w:tcW w:w="1384" w:type="dxa"/>
          </w:tcPr>
          <w:p>
            <w:pPr/>
            <w:r>
              <w:t xml:space="preserve">Medium</w:t>
            </w:r>
          </w:p>
        </w:tc>
        <w:tc>
          <w:tcPr>
            <w:tcW w:w="1659" w:type="dxa"/>
          </w:tcPr>
          <w:p>
            <w:pPr/>
            <w:r>
              <w:t xml:space="preserve">Build and CI run on the repository</w:t>
            </w:r>
          </w:p>
        </w:tc>
        <w:tc>
          <w:tcPr>
            <w:tcW w:w="1226" w:type="dxa"/>
          </w:tcPr>
          <w:p>
            <w:pPr/>
            <w:r>
              <w:t xml:space="preserve">This sprint</w:t>
            </w:r>
          </w:p>
        </w:tc>
      </w:tr>
      <w:tr>
        <w:tc>
          <w:tcPr>
            <w:tcW w:w="720" w:type="dxa"/>
          </w:tcPr>
          <w:p>
            <w:pPr/>
            <w:r>
              <w:t xml:space="preserve">A-08</w:t>
            </w:r>
          </w:p>
        </w:tc>
        <w:tc>
          <w:tcPr>
            <w:tcW w:w="2901" w:type="dxa"/>
          </w:tcPr>
          <w:p>
            <w:pPr/>
            <w:r>
              <w:t xml:space="preserve">The supplied architecture matches the repository</w:t>
            </w:r>
          </w:p>
        </w:tc>
        <w:tc>
          <w:tcPr>
            <w:tcW w:w="1470" w:type="dxa"/>
          </w:tcPr>
          <w:p>
            <w:pPr/>
            <w:r>
              <w:t xml:space="preserve">Supplied description only</w:t>
            </w:r>
          </w:p>
        </w:tc>
        <w:tc>
          <w:tcPr>
            <w:tcW w:w="1384" w:type="dxa"/>
          </w:tcPr>
          <w:p>
            <w:pPr/>
            <w:r>
              <w:t xml:space="preserve">Unknown</w:t>
            </w:r>
          </w:p>
        </w:tc>
        <w:tc>
          <w:tcPr>
            <w:tcW w:w="1659" w:type="dxa"/>
          </w:tcPr>
          <w:p>
            <w:pPr/>
            <w:r>
              <w:t xml:space="preserve">Code review</w:t>
            </w:r>
          </w:p>
        </w:tc>
        <w:tc>
          <w:tcPr>
            <w:tcW w:w="1226" w:type="dxa"/>
          </w:tcPr>
          <w:p>
            <w:pPr/>
            <w:r>
              <w:t xml:space="preserve">This sprint</w:t>
            </w:r>
          </w:p>
        </w:tc>
      </w:tr>
      <w:tr>
        <w:tc>
          <w:tcPr>
            <w:tcW w:w="720" w:type="dxa"/>
          </w:tcPr>
          <w:p>
            <w:pPr/>
            <w:r>
              <w:t xml:space="preserve">A-09</w:t>
            </w:r>
          </w:p>
        </w:tc>
        <w:tc>
          <w:tcPr>
            <w:tcW w:w="2901" w:type="dxa"/>
          </w:tcPr>
          <w:p>
            <w:pPr/>
            <w:r>
              <w:t xml:space="preserve">Existing attendance and timetable meet teachers' needs</w:t>
            </w:r>
          </w:p>
        </w:tc>
        <w:tc>
          <w:tcPr>
            <w:tcW w:w="1470" w:type="dxa"/>
          </w:tcPr>
          <w:p>
            <w:pPr/>
            <w:r>
              <w:t xml:space="preserve">None</w:t>
            </w:r>
          </w:p>
        </w:tc>
        <w:tc>
          <w:tcPr>
            <w:tcW w:w="1384" w:type="dxa"/>
          </w:tcPr>
          <w:p>
            <w:pPr/>
            <w:r>
              <w:t xml:space="preserve">Unknown</w:t>
            </w:r>
          </w:p>
        </w:tc>
        <w:tc>
          <w:tcPr>
            <w:tcW w:w="1659" w:type="dxa"/>
          </w:tcPr>
          <w:p>
            <w:pPr/>
            <w:r>
              <w:t xml:space="preserve">Pilot usability tests</w:t>
            </w:r>
          </w:p>
        </w:tc>
        <w:tc>
          <w:tcPr>
            <w:tcW w:w="1226" w:type="dxa"/>
          </w:tcPr>
          <w:p>
            <w:pPr/>
            <w:r>
              <w:t xml:space="preserve">During pilot</w:t>
            </w:r>
          </w:p>
        </w:tc>
      </w:tr>
      <w:tr>
        <w:tc>
          <w:tcPr>
            <w:tcW w:w="720" w:type="dxa"/>
          </w:tcPr>
          <w:p>
            <w:pPr/>
            <w:r>
              <w:t xml:space="preserve">A-10</w:t>
            </w:r>
          </w:p>
        </w:tc>
        <w:tc>
          <w:tcPr>
            <w:tcW w:w="2901" w:type="dxa"/>
          </w:tcPr>
          <w:p>
            <w:pPr/>
            <w:r>
              <w:t xml:space="preserve">Parents will use a portal or app rather than WhatsApp</w:t>
            </w:r>
          </w:p>
        </w:tc>
        <w:tc>
          <w:tcPr>
            <w:tcW w:w="1470" w:type="dxa"/>
          </w:tcPr>
          <w:p>
            <w:pPr/>
            <w:r>
              <w:t xml:space="preserve">None</w:t>
            </w:r>
          </w:p>
        </w:tc>
        <w:tc>
          <w:tcPr>
            <w:tcW w:w="1384" w:type="dxa"/>
          </w:tcPr>
          <w:p>
            <w:pPr/>
            <w:r>
              <w:t xml:space="preserve">Unknown</w:t>
            </w:r>
          </w:p>
        </w:tc>
        <w:tc>
          <w:tcPr>
            <w:tcW w:w="1659" w:type="dxa"/>
          </w:tcPr>
          <w:p>
            <w:pPr/>
            <w:r>
              <w:t xml:space="preserve">Interviews; pilot activation rate</w:t>
            </w:r>
          </w:p>
        </w:tc>
        <w:tc>
          <w:tcPr>
            <w:tcW w:w="1226" w:type="dxa"/>
          </w:tcPr>
          <w:p>
            <w:pPr/>
            <w:r>
              <w:t xml:space="preserve">Before the portal is built</w:t>
            </w:r>
          </w:p>
        </w:tc>
      </w:tr>
      <w:tr>
        <w:tc>
          <w:tcPr>
            <w:tcW w:w="720" w:type="dxa"/>
          </w:tcPr>
          <w:p>
            <w:pPr/>
            <w:r>
              <w:t xml:space="preserve">A-11</w:t>
            </w:r>
          </w:p>
        </w:tc>
        <w:tc>
          <w:tcPr>
            <w:tcW w:w="2901" w:type="dxa"/>
          </w:tcPr>
          <w:p>
            <w:pPr/>
            <w:r>
              <w:t xml:space="preserve">Schools switch systems around the academic-year start</w:t>
            </w:r>
          </w:p>
        </w:tc>
        <w:tc>
          <w:tcPr>
            <w:tcW w:w="1470" w:type="dxa"/>
          </w:tcPr>
          <w:p>
            <w:pPr/>
            <w:r>
              <w:t xml:space="preserve">Assumption</w:t>
            </w:r>
          </w:p>
        </w:tc>
        <w:tc>
          <w:tcPr>
            <w:tcW w:w="1384" w:type="dxa"/>
          </w:tcPr>
          <w:p>
            <w:pPr/>
            <w:r>
              <w:t xml:space="preserve">Unknown</w:t>
            </w:r>
          </w:p>
        </w:tc>
        <w:tc>
          <w:tcPr>
            <w:tcW w:w="1659" w:type="dxa"/>
          </w:tcPr>
          <w:p>
            <w:pPr/>
            <w:r>
              <w:t xml:space="preserve">Interview question 8</w:t>
            </w:r>
          </w:p>
        </w:tc>
        <w:tc>
          <w:tcPr>
            <w:tcW w:w="1226" w:type="dxa"/>
          </w:tcPr>
          <w:p>
            <w:pPr/>
            <w:r>
              <w:t xml:space="preserve">End of Phase 0</w:t>
            </w:r>
          </w:p>
        </w:tc>
      </w:tr>
      <w:tr>
        <w:tc>
          <w:tcPr>
            <w:tcW w:w="720" w:type="dxa"/>
          </w:tcPr>
          <w:p>
            <w:pPr/>
            <w:r>
              <w:t xml:space="preserve">A-12</w:t>
            </w:r>
          </w:p>
        </w:tc>
        <w:tc>
          <w:tcPr>
            <w:tcW w:w="2901" w:type="dxa"/>
          </w:tcPr>
          <w:p>
            <w:pPr/>
            <w:r>
              <w:t xml:space="preserve">The educational-institution exemption covers routine student-data processing</w:t>
            </w:r>
          </w:p>
        </w:tc>
        <w:tc>
          <w:tcPr>
            <w:tcW w:w="1470" w:type="dxa"/>
          </w:tcPr>
          <w:p>
            <w:pPr/>
            <w:r>
              <w:t xml:space="preserve">Partial reading of Rule 12</w:t>
            </w:r>
          </w:p>
        </w:tc>
        <w:tc>
          <w:tcPr>
            <w:tcW w:w="1384" w:type="dxa"/>
          </w:tcPr>
          <w:p>
            <w:pPr/>
            <w:r>
              <w:t xml:space="preserve">Low</w:t>
            </w:r>
          </w:p>
        </w:tc>
        <w:tc>
          <w:tcPr>
            <w:tcW w:w="1659" w:type="dxa"/>
          </w:tcPr>
          <w:p>
            <w:pPr/>
            <w:r>
              <w:t xml:space="preserve">Legal review</w:t>
            </w:r>
          </w:p>
        </w:tc>
        <w:tc>
          <w:tcPr>
            <w:tcW w:w="1226" w:type="dxa"/>
          </w:tcPr>
          <w:p>
            <w:pPr/>
            <w:r>
              <w:t xml:space="preserve">Before the portal is built</w:t>
            </w:r>
          </w:p>
        </w:tc>
      </w:tr>
    </w:tbl>
    <w:p>
      <w:pPr>
        <w:pStyle w:val="Heading2"/>
      </w:pPr>
      <w:r>
        <w:t xml:space="preserve">32. Technical readiness checklist</w:t>
      </w:r>
    </w:p>
    <w:p>
      <w:pPr>
        <w:pStyle w:val="ListParagraph"/>
        <w:numPr>
          <w:ilvl w:val="0"/>
          <w:numId w:val="13"/>
        </w:numPr>
      </w:pPr>
      <w:r>
        <w:t xml:space="preserve">☐ Build and run CI on Java 25 and Spring Boot 4.1.x; compare Spring Session, Lettuce, Hibernate, Flyway and Testcontainers versions with the Boot dependency set</w:t>
      </w:r>
    </w:p>
    <w:p>
      <w:pPr>
        <w:pStyle w:val="ListParagraph"/>
        <w:numPr>
          <w:ilvl w:val="0"/>
          <w:numId w:val="13"/>
        </w:numPr>
      </w:pPr>
      <w:r>
        <w:t xml:space="preserve">☐ Apply master V20 and tenant V16 migrations to fresh and existing tenants</w:t>
      </w:r>
    </w:p>
    <w:p>
      <w:pPr>
        <w:pStyle w:val="ListParagraph"/>
        <w:numPr>
          <w:ilvl w:val="0"/>
          <w:numId w:val="13"/>
        </w:numPr>
      </w:pPr>
      <w:r>
        <w:t xml:space="preserve">☐ Tenant provisioning is resumable and idempotent, with persisted state and a failure-injection test</w:t>
      </w:r>
    </w:p>
    <w:p>
      <w:pPr>
        <w:pStyle w:val="ListParagraph"/>
        <w:numPr>
          <w:ilvl w:val="0"/>
          <w:numId w:val="13"/>
        </w:numPr>
      </w:pPr>
      <w:r>
        <w:t xml:space="preserve">☐ Model connection-pool and database-count limits at 50 and 200 tenants</w:t>
      </w:r>
    </w:p>
    <w:p>
      <w:pPr>
        <w:pStyle w:val="ListParagraph"/>
        <w:numPr>
          <w:ilvl w:val="0"/>
          <w:numId w:val="13"/>
        </w:numPr>
      </w:pPr>
      <w:r>
        <w:t xml:space="preserve">☐ Cross-tenant tests: forged tenant header, async jobs, caches, files, exports</w:t>
      </w:r>
    </w:p>
    <w:p>
      <w:pPr>
        <w:pStyle w:val="ListParagraph"/>
        <w:numPr>
          <w:ilvl w:val="0"/>
          <w:numId w:val="13"/>
        </w:numPr>
      </w:pPr>
      <w:r>
        <w:t xml:space="preserve">☐ Bulk import with dry run, row-level errors and idempotent retry</w:t>
      </w:r>
    </w:p>
    <w:p>
      <w:pPr>
        <w:pStyle w:val="ListParagraph"/>
        <w:numPr>
          <w:ilvl w:val="0"/>
          <w:numId w:val="13"/>
        </w:numPr>
      </w:pPr>
      <w:r>
        <w:t xml:space="preserve">☐ Attendance peak load and the timetable query-count invariant</w:t>
      </w:r>
    </w:p>
    <w:p>
      <w:pPr>
        <w:pStyle w:val="ListParagraph"/>
        <w:numPr>
          <w:ilvl w:val="0"/>
          <w:numId w:val="13"/>
        </w:numPr>
      </w:pPr>
      <w:r>
        <w:t xml:space="preserve">☐ Audit log covers privileged cross-tenant access; logs kept at least one year</w:t>
      </w:r>
    </w:p>
    <w:p>
      <w:pPr>
        <w:pStyle w:val="ListParagraph"/>
        <w:numPr>
          <w:ilvl w:val="0"/>
          <w:numId w:val="13"/>
        </w:numPr>
      </w:pPr>
      <w:r>
        <w:t xml:space="preserve">☐ Monitoring, alerting, per-tenant backup and a tested restore</w:t>
      </w:r>
    </w:p>
    <w:p>
      <w:pPr>
        <w:pStyle w:val="ListParagraph"/>
        <w:numPr>
          <w:ilvl w:val="0"/>
          <w:numId w:val="13"/>
        </w:numPr>
      </w:pPr>
      <w:r>
        <w:t xml:space="preserve">☐ No cross-database transaction assumed; compensation defined for provisioning and subscription changes; payment webhooks idempotent</w:t>
      </w:r>
    </w:p>
    <w:p>
      <w:pPr>
        <w:pStyle w:val="Heading2"/>
      </w:pPr>
      <w:r>
        <w:t xml:space="preserve">33. What v0.2 deliberately does not contain</w:t>
      </w:r>
    </w:p>
    <w:p>
      <w:pPr/>
      <w:r>
        <w:t xml:space="preserve">Full per-module requirement tables, the traceability matrix, a complete competitor matrix, the glossary and the MVP readiness checklist are deferred until the Phase 0 gate. Writing them now would harden guesses. The v0.1 risk register still stands. The interview plan and go/no-go thresholds are in the Market Validation Report.</w:t>
      </w:r>
    </w:p>
    <w:p>
      <w:pPr>
        <w:pStyle w:val="Heading2"/>
      </w:pPr>
      <w:r>
        <w:t xml:space="preserve">34. Conclusions</w:t>
      </w:r>
    </w:p>
    <w:p>
      <w:pPr>
        <w:pStyle w:val="ListParagraph"/>
        <w:numPr>
          <w:ilvl w:val="0"/>
          <w:numId w:val="14"/>
        </w:numPr>
      </w:pPr>
      <w:r>
        <w:rPr>
          <w:b/>
        </w:rPr>
        <w:t xml:space="preserve">Segment:</w:t>
      </w:r>
      <w:r>
        <w:t xml:space="preserve"> working hypothesis is medium single-campus private K–12 schools; multi-branch groups are tested alongside. Not confirmed.</w:t>
      </w:r>
    </w:p>
    <w:p>
      <w:pPr>
        <w:pStyle w:val="ListParagraph"/>
        <w:numPr>
          <w:ilvl w:val="0"/>
          <w:numId w:val="14"/>
        </w:numPr>
      </w:pPr>
      <w:r>
        <w:rPr>
          <w:b/>
        </w:rPr>
        <w:t xml:space="preserve">Highest-value problems (hypotheses):</w:t>
      </w:r>
      <w:r>
        <w:t xml:space="preserve"> getting data in and live quickly; fee tracking and follow-up; trustworthy, compliant handling of children's data.</w:t>
      </w:r>
    </w:p>
    <w:p>
      <w:pPr>
        <w:pStyle w:val="ListParagraph"/>
        <w:numPr>
          <w:ilvl w:val="0"/>
          <w:numId w:val="14"/>
        </w:numPr>
      </w:pPr>
      <w:r>
        <w:rPr>
          <w:b/>
        </w:rPr>
        <w:t xml:space="preserve">First five capabilities:</w:t>
      </w:r>
      <w:r>
        <w:t xml:space="preserve"> tenant authorization hardening; onboarding and bulk import; attendance with audit; fee management for paid launch; parent notifications, after consent review.</w:t>
      </w:r>
    </w:p>
    <w:p>
      <w:pPr>
        <w:pStyle w:val="ListParagraph"/>
        <w:numPr>
          <w:ilvl w:val="0"/>
          <w:numId w:val="14"/>
        </w:numPr>
      </w:pPr>
      <w:r>
        <w:rPr>
          <w:b/>
        </w:rPr>
        <w:t xml:space="preserve">Differentiation:</w:t>
      </w:r>
      <w:r>
        <w:t xml:space="preserve"> DPDP-ready, isolated and auditable data handling combined with assisted migration. The deadline is verified; demand is not.</w:t>
      </w:r>
    </w:p>
    <w:p>
      <w:pPr>
        <w:pStyle w:val="ListParagraph"/>
        <w:numPr>
          <w:ilvl w:val="0"/>
          <w:numId w:val="14"/>
        </w:numPr>
      </w:pPr>
      <w:r>
        <w:rPr>
          <w:b/>
        </w:rPr>
        <w:t xml:space="preserve">Next ten actions:</w:t>
      </w:r>
    </w:p>
    <w:p>
      <w:pPr>
        <w:pStyle w:val="ListParagraph"/>
        <w:numPr>
          <w:ilvl w:val="1"/>
          <w:numId w:val="15"/>
        </w:numPr>
      </w:pPr>
      <w:r>
        <w:t xml:space="preserve">Run 8–12 interviews using the plan in the report.</w:t>
      </w:r>
    </w:p>
    <w:p>
      <w:pPr>
        <w:pStyle w:val="ListParagraph"/>
        <w:numPr>
          <w:ilvl w:val="1"/>
          <w:numId w:val="15"/>
        </w:numPr>
      </w:pPr>
      <w:r>
        <w:t xml:space="preserve">Recruit three design-partner schools.</w:t>
      </w:r>
    </w:p>
    <w:p>
      <w:pPr>
        <w:pStyle w:val="ListParagraph"/>
        <w:numPr>
          <w:ilvl w:val="1"/>
          <w:numId w:val="15"/>
        </w:numPr>
      </w:pPr>
      <w:r>
        <w:t xml:space="preserve">Build the per-tenant cost model.</w:t>
      </w:r>
    </w:p>
    <w:p>
      <w:pPr>
        <w:pStyle w:val="ListParagraph"/>
        <w:numPr>
          <w:ilvl w:val="1"/>
          <w:numId w:val="15"/>
        </w:numPr>
      </w:pPr>
      <w:r>
        <w:t xml:space="preserve">Get legal review on fiduciary versus processor and on the exemption.</w:t>
      </w:r>
    </w:p>
    <w:p>
      <w:pPr>
        <w:pStyle w:val="ListParagraph"/>
        <w:numPr>
          <w:ilvl w:val="1"/>
          <w:numId w:val="15"/>
        </w:numPr>
      </w:pPr>
      <w:r>
        <w:t xml:space="preserve">Verify the repository and the dependency build.</w:t>
      </w:r>
    </w:p>
    <w:p>
      <w:pPr>
        <w:pStyle w:val="ListParagraph"/>
        <w:numPr>
          <w:ilvl w:val="1"/>
          <w:numId w:val="15"/>
        </w:numPr>
      </w:pPr>
      <w:r>
        <w:t xml:space="preserve">Check Entab, Fedena and Teachmint pricing pages and demos directly, and research the four Unverified competitors.</w:t>
      </w:r>
    </w:p>
    <w:p>
      <w:pPr>
        <w:pStyle w:val="ListParagraph"/>
        <w:numPr>
          <w:ilvl w:val="1"/>
          <w:numId w:val="15"/>
        </w:numPr>
      </w:pPr>
      <w:r>
        <w:t xml:space="preserve">Search school-administrator communities again for real complaints.</w:t>
      </w:r>
    </w:p>
    <w:p>
      <w:pPr>
        <w:pStyle w:val="ListParagraph"/>
        <w:numPr>
          <w:ilvl w:val="1"/>
          <w:numId w:val="15"/>
        </w:numPr>
      </w:pPr>
      <w:r>
        <w:t xml:space="preserve">Add fifth-Saturday tests and investigate the substitution reference.</w:t>
      </w:r>
    </w:p>
    <w:p>
      <w:pPr>
        <w:pStyle w:val="ListParagraph"/>
        <w:numPr>
          <w:ilvl w:val="1"/>
          <w:numId w:val="15"/>
        </w:numPr>
      </w:pPr>
      <w:r>
        <w:t xml:space="preserve">Design import tooling with dry run.</w:t>
      </w:r>
    </w:p>
    <w:p>
      <w:pPr>
        <w:pStyle w:val="ListParagraph"/>
        <w:numPr>
          <w:ilvl w:val="1"/>
          <w:numId w:val="15"/>
        </w:numPr>
      </w:pPr>
      <w:r>
        <w:t xml:space="preserve">Run the pricing experiment with a small paid pilot.</w:t>
      </w:r>
    </w:p>
    <w:p>
      <w:pPr>
        <w:pStyle w:val="ListParagraph"/>
        <w:numPr>
          <w:ilvl w:val="0"/>
          <w:numId w:val="14"/>
        </w:numPr>
      </w:pPr>
      <w:r>
        <w:rPr>
          <w:b/>
        </w:rPr>
        <w:t xml:space="preserve">Assumptions to validate before committing to the MVP:</w:t>
      </w:r>
      <w:r>
        <w:t xml:space="preserve"> A-01 to A-06 and A-12.</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0"/>
  </w:num>
  <w:num w:numId="13">
    <w:abstractNumId w:val="0"/>
  </w:num>
  <w:num w:numId="14">
    <w:abstractNumId w:val="1"/>
    <w:lvlOverride w:ilvl="0">
      <w:startOverride w:val="1"/>
    </w:lvlOverride>
  </w:num>
  <w:num w:numId="15">
    <w:abstractNumId w:val="1"/>
    <w:lvlOverride w:ilvl="1">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code/artifact/47ffd5c1-177d-429a-aea8-0d76f258b7e8"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Vidya — Product Requirements Document (v0.2, validation-first draft)</dc:title>
  <dc:description>Claude Docs node/0e9e6a44-c07c@2 docx-w7</dc:description>
  <cp:revision>2</cp:revision>
</cp:coreProperties>
</file>