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before="400"/>
        <w:jc w:val="center"/>
      </w:pPr>
      <w:r>
        <w:rPr>
          <w:rFonts w:ascii="Arial" w:cs="Arial" w:eastAsia="Arial" w:hAnsi="Arial"/>
          <w:b/>
          <w:bCs/>
          <w:color w:val="1A3C2E"/>
          <w:sz w:val="48"/>
          <w:szCs w:val="48"/>
        </w:rPr>
        <w:t xml:space="preserve">ROOFTOP SOLAR FEASIBILITY STUDY</w:t>
      </w:r>
    </w:p>
    <w:p>
      <w:pPr>
        <w:spacing w:after="100" w:before="100"/>
        <w:jc w:val="center"/>
      </w:pPr>
      <w:r>
        <w:rPr>
          <w:rFonts w:ascii="Arial" w:cs="Arial" w:eastAsia="Arial" w:hAnsi="Arial"/>
          <w:b/>
          <w:bCs/>
          <w:color w:val="2D7A4F"/>
          <w:sz w:val="32"/>
          <w:szCs w:val="32"/>
        </w:rPr>
        <w:t xml:space="preserve">UP Municipal Utilities — Uttar Pradesh</w:t>
      </w:r>
    </w:p>
    <w:p>
      <w:pPr>
        <w:spacing w:after="400" w:before="100"/>
        <w:jc w:val="center"/>
      </w:pPr>
      <w:r>
        <w:rPr>
          <w:rFonts w:ascii="Arial" w:cs="Arial" w:eastAsia="Arial" w:hAnsi="Arial"/>
          <w:color w:val="C4974A"/>
          <w:sz w:val="24"/>
          <w:szCs w:val="24"/>
        </w:rPr>
        <w:t xml:space="preserve">PM Surya Ghar Yojana Scheme | 2025</w:t>
      </w:r>
    </w:p>
    <w:p>
      <w:r>
        <w:t xml:space="preserve"/>
      </w:r>
    </w:p>
    <w:p>
      <w:pPr>
        <w:jc w:val="center"/>
      </w:pPr>
      <w:r>
        <w:rPr>
          <w:rFonts w:ascii="Arial" w:cs="Arial" w:eastAsia="Arial" w:hAnsi="Arial"/>
          <w:color w:val="666666"/>
          <w:sz w:val="22"/>
          <w:szCs w:val="22"/>
        </w:rPr>
        <w:t xml:space="preserve">Prepared by: Chhavi Singh | Data &amp; Research Analyst</w:t>
      </w:r>
    </w:p>
    <w:p>
      <w:pPr>
        <w:jc w:val="center"/>
      </w:pPr>
      <w:r>
        <w:rPr>
          <w:rFonts w:ascii="Arial" w:cs="Arial" w:eastAsia="Arial" w:hAnsi="Arial"/>
          <w:color w:val="666666"/>
          <w:sz w:val="22"/>
          <w:szCs w:val="22"/>
        </w:rPr>
        <w:t xml:space="preserve">Date: June 2025</w:t>
      </w:r>
    </w:p>
    <w:p>
      <w:r>
        <w:t xml:space="preserve"/>
      </w:r>
    </w:p>
    <w:p>
      <w:r>
        <w:t xml:space="preserve"/>
      </w:r>
    </w:p>
    <w:p>
      <w:r>
        <w:br w:type="page"/>
      </w:r>
    </w:p>
    <w:p>
      <w:pPr>
        <w:pStyle w:val="Heading1"/>
        <w:spacing w:after="150" w:before="300"/>
      </w:pPr>
      <w:r>
        <w:rPr>
          <w:rFonts w:ascii="Arial" w:cs="Arial" w:eastAsia="Arial" w:hAnsi="Arial"/>
          <w:b/>
          <w:bCs/>
          <w:color w:val="1A3C2E"/>
          <w:sz w:val="32"/>
          <w:szCs w:val="32"/>
        </w:rPr>
        <w:t xml:space="preserve">1. Executive Summary</w:t>
      </w:r>
    </w:p>
    <w:p>
      <w:pPr>
        <w:spacing w:after="80" w:before="80"/>
      </w:pPr>
      <w:r>
        <w:rPr>
          <w:rFonts w:ascii="Arial" w:cs="Arial" w:eastAsia="Arial" w:hAnsi="Arial"/>
          <w:color w:val="333333"/>
          <w:sz w:val="22"/>
          <w:szCs w:val="22"/>
        </w:rPr>
        <w:t xml:space="preserve">This feasibility study assesses rooftop solar installation potential for three municipal utilities in Uttar Pradesh under the PM Surya Ghar Yojana scheme. The study covers Agra Municipal Corporation (500 kW), Lucknow Nagar Nigam (750 kW), and Meerut Municipal Corporation (300 kW).</w:t>
      </w:r>
    </w:p>
    <w:p>
      <w:r>
        <w:t xml:space="preserve"/>
      </w:r>
    </w:p>
    <w:p>
      <w:pPr>
        <w:spacing w:after="80" w:before="80"/>
      </w:pPr>
      <w:r>
        <w:rPr>
          <w:rFonts w:ascii="Arial" w:cs="Arial" w:eastAsia="Arial" w:hAnsi="Arial"/>
          <w:color w:val="333333"/>
          <w:sz w:val="22"/>
          <w:szCs w:val="22"/>
        </w:rPr>
        <w:t xml:space="preserve">Key findings indicate that all three utilities present financially viable opportunities with strong IRR values ranging from 17.8% to 19.1%, well above the benchmark threshold of 10%. The combined installation capacity of 1,550 kW will generate approximately Rs. 88 lakh in annual savings and achieve full payback within 4.3 to 4.5 years.</w:t>
      </w:r>
    </w:p>
    <w:p>
      <w:r>
        <w:t xml:space="preserve"/>
      </w:r>
    </w:p>
    <w:p>
      <w:pPr>
        <w:pStyle w:val="Heading2"/>
        <w:spacing w:after="100" w:before="200"/>
      </w:pPr>
      <w:r>
        <w:rPr>
          <w:rFonts w:ascii="Arial" w:cs="Arial" w:eastAsia="Arial" w:hAnsi="Arial"/>
          <w:b/>
          <w:bCs/>
          <w:color w:val="2D7A4F"/>
          <w:sz w:val="26"/>
          <w:szCs w:val="26"/>
        </w:rPr>
        <w:t xml:space="preserve">Key Highlights</w:t>
      </w:r>
    </w:p>
    <w:p>
      <w:pPr>
        <w:pStyle w:val="ListParagraph"/>
        <w:numPr>
          <w:ilvl w:val="0"/>
          <w:numId w:val="2"/>
        </w:numPr>
        <w:spacing w:after="60" w:before="60"/>
      </w:pPr>
      <w:r>
        <w:rPr>
          <w:rFonts w:ascii="Arial" w:cs="Arial" w:eastAsia="Arial" w:hAnsi="Arial"/>
          <w:color w:val="333333"/>
          <w:sz w:val="22"/>
          <w:szCs w:val="22"/>
        </w:rPr>
        <w:t xml:space="preserve">Total combined capacity: 1,550 kW across 3 utilities</w:t>
      </w:r>
    </w:p>
    <w:p>
      <w:pPr>
        <w:pStyle w:val="ListParagraph"/>
        <w:numPr>
          <w:ilvl w:val="0"/>
          <w:numId w:val="2"/>
        </w:numPr>
        <w:spacing w:after="60" w:before="60"/>
      </w:pPr>
      <w:r>
        <w:rPr>
          <w:rFonts w:ascii="Arial" w:cs="Arial" w:eastAsia="Arial" w:hAnsi="Arial"/>
          <w:color w:val="333333"/>
          <w:sz w:val="22"/>
          <w:szCs w:val="22"/>
        </w:rPr>
        <w:t xml:space="preserve">Total investment: Rs. 542.5 lakh (after government subsidy)</w:t>
      </w:r>
    </w:p>
    <w:p>
      <w:pPr>
        <w:pStyle w:val="ListParagraph"/>
        <w:numPr>
          <w:ilvl w:val="0"/>
          <w:numId w:val="2"/>
        </w:numPr>
        <w:spacing w:after="60" w:before="60"/>
      </w:pPr>
      <w:r>
        <w:rPr>
          <w:rFonts w:ascii="Arial" w:cs="Arial" w:eastAsia="Arial" w:hAnsi="Arial"/>
          <w:color w:val="333333"/>
          <w:sz w:val="22"/>
          <w:szCs w:val="22"/>
        </w:rPr>
        <w:t xml:space="preserve">Combined annual savings: Rs. 88 lakh</w:t>
      </w:r>
    </w:p>
    <w:p>
      <w:pPr>
        <w:pStyle w:val="ListParagraph"/>
        <w:numPr>
          <w:ilvl w:val="0"/>
          <w:numId w:val="2"/>
        </w:numPr>
        <w:spacing w:after="60" w:before="60"/>
      </w:pPr>
      <w:r>
        <w:rPr>
          <w:rFonts w:ascii="Arial" w:cs="Arial" w:eastAsia="Arial" w:hAnsi="Arial"/>
          <w:color w:val="333333"/>
          <w:sz w:val="22"/>
          <w:szCs w:val="22"/>
        </w:rPr>
        <w:t xml:space="preserve">Average payback period: 4.4 years</w:t>
      </w:r>
    </w:p>
    <w:p>
      <w:pPr>
        <w:pStyle w:val="ListParagraph"/>
        <w:numPr>
          <w:ilvl w:val="0"/>
          <w:numId w:val="2"/>
        </w:numPr>
        <w:spacing w:after="60" w:before="60"/>
      </w:pPr>
      <w:r>
        <w:rPr>
          <w:rFonts w:ascii="Arial" w:cs="Arial" w:eastAsia="Arial" w:hAnsi="Arial"/>
          <w:color w:val="333333"/>
          <w:sz w:val="22"/>
          <w:szCs w:val="22"/>
        </w:rPr>
        <w:t xml:space="preserve">Average IRR: 18.4% (well above 10% benchmark)</w:t>
      </w:r>
    </w:p>
    <w:p>
      <w:pPr>
        <w:pStyle w:val="ListParagraph"/>
        <w:numPr>
          <w:ilvl w:val="0"/>
          <w:numId w:val="2"/>
        </w:numPr>
        <w:spacing w:after="60" w:before="60"/>
      </w:pPr>
      <w:r>
        <w:rPr>
          <w:rFonts w:ascii="Arial" w:cs="Arial" w:eastAsia="Arial" w:hAnsi="Arial"/>
          <w:color w:val="333333"/>
          <w:sz w:val="22"/>
          <w:szCs w:val="22"/>
        </w:rPr>
        <w:t xml:space="preserve">Government subsidy available: Rs. 162.75 lakh under PM Surya Ghar Yojana</w:t>
      </w:r>
    </w:p>
    <w:p>
      <w:r>
        <w:t xml:space="preserve"/>
      </w:r>
    </w:p>
    <w:p>
      <w:r>
        <w:br w:type="page"/>
      </w:r>
    </w:p>
    <w:p>
      <w:pPr>
        <w:pStyle w:val="Heading1"/>
        <w:spacing w:after="150" w:before="300"/>
      </w:pPr>
      <w:r>
        <w:rPr>
          <w:rFonts w:ascii="Arial" w:cs="Arial" w:eastAsia="Arial" w:hAnsi="Arial"/>
          <w:b/>
          <w:bCs/>
          <w:color w:val="1A3C2E"/>
          <w:sz w:val="32"/>
          <w:szCs w:val="32"/>
        </w:rPr>
        <w:t xml:space="preserve">2. Project Overview</w:t>
      </w:r>
    </w:p>
    <w:p>
      <w:pPr>
        <w:pStyle w:val="Heading2"/>
        <w:spacing w:after="100" w:before="200"/>
      </w:pPr>
      <w:r>
        <w:rPr>
          <w:rFonts w:ascii="Arial" w:cs="Arial" w:eastAsia="Arial" w:hAnsi="Arial"/>
          <w:b/>
          <w:bCs/>
          <w:color w:val="2D7A4F"/>
          <w:sz w:val="26"/>
          <w:szCs w:val="26"/>
        </w:rPr>
        <w:t xml:space="preserve">2.1 Background</w:t>
      </w:r>
    </w:p>
    <w:p>
      <w:pPr>
        <w:spacing w:after="80" w:before="80"/>
      </w:pPr>
      <w:r>
        <w:rPr>
          <w:rFonts w:ascii="Arial" w:cs="Arial" w:eastAsia="Arial" w:hAnsi="Arial"/>
          <w:color w:val="333333"/>
          <w:sz w:val="22"/>
          <w:szCs w:val="22"/>
        </w:rPr>
        <w:t xml:space="preserve">India's PM Surya Ghar Yojana scheme, launched in 2024, aims to provide free electricity to 1 crore households by promoting rooftop solar installations. Municipal utilities in Uttar Pradesh have been identified as high-priority targets due to their large rooftop areas, high electricity consumption, and significant potential for cost savings.</w:t>
      </w:r>
    </w:p>
    <w:p>
      <w:r>
        <w:t xml:space="preserve"/>
      </w:r>
    </w:p>
    <w:p>
      <w:pPr>
        <w:pStyle w:val="Heading2"/>
        <w:spacing w:after="100" w:before="200"/>
      </w:pPr>
      <w:r>
        <w:rPr>
          <w:rFonts w:ascii="Arial" w:cs="Arial" w:eastAsia="Arial" w:hAnsi="Arial"/>
          <w:b/>
          <w:bCs/>
          <w:color w:val="2D7A4F"/>
          <w:sz w:val="26"/>
          <w:szCs w:val="26"/>
        </w:rPr>
        <w:t xml:space="preserve">2.2 Scope of Study</w:t>
      </w:r>
    </w:p>
    <w:p>
      <w:pPr>
        <w:spacing w:after="80" w:before="80"/>
      </w:pPr>
      <w:r>
        <w:rPr>
          <w:rFonts w:ascii="Arial" w:cs="Arial" w:eastAsia="Arial" w:hAnsi="Arial"/>
          <w:color w:val="333333"/>
          <w:sz w:val="22"/>
          <w:szCs w:val="22"/>
        </w:rPr>
        <w:t xml:space="preserve">This study evaluates three UP municipal utilities for rooftop solar feasibility:</w:t>
      </w:r>
    </w:p>
    <w:p>
      <w:pPr>
        <w:pStyle w:val="ListParagraph"/>
        <w:numPr>
          <w:ilvl w:val="0"/>
          <w:numId w:val="2"/>
        </w:numPr>
        <w:spacing w:after="60" w:before="60"/>
      </w:pPr>
      <w:r>
        <w:rPr>
          <w:rFonts w:ascii="Arial" w:cs="Arial" w:eastAsia="Arial" w:hAnsi="Arial"/>
          <w:color w:val="333333"/>
          <w:sz w:val="22"/>
          <w:szCs w:val="22"/>
        </w:rPr>
        <w:t xml:space="preserve">Agra Municipal Corporation — 500 kW capacity</w:t>
      </w:r>
    </w:p>
    <w:p>
      <w:pPr>
        <w:pStyle w:val="ListParagraph"/>
        <w:numPr>
          <w:ilvl w:val="0"/>
          <w:numId w:val="2"/>
        </w:numPr>
        <w:spacing w:after="60" w:before="60"/>
      </w:pPr>
      <w:r>
        <w:rPr>
          <w:rFonts w:ascii="Arial" w:cs="Arial" w:eastAsia="Arial" w:hAnsi="Arial"/>
          <w:color w:val="333333"/>
          <w:sz w:val="22"/>
          <w:szCs w:val="22"/>
        </w:rPr>
        <w:t xml:space="preserve">Lucknow Nagar Nigam — 750 kW capacity</w:t>
      </w:r>
    </w:p>
    <w:p>
      <w:pPr>
        <w:pStyle w:val="ListParagraph"/>
        <w:numPr>
          <w:ilvl w:val="0"/>
          <w:numId w:val="2"/>
        </w:numPr>
        <w:spacing w:after="60" w:before="60"/>
      </w:pPr>
      <w:r>
        <w:rPr>
          <w:rFonts w:ascii="Arial" w:cs="Arial" w:eastAsia="Arial" w:hAnsi="Arial"/>
          <w:color w:val="333333"/>
          <w:sz w:val="22"/>
          <w:szCs w:val="22"/>
        </w:rPr>
        <w:t xml:space="preserve">Meerut Municipal Corporation — 300 kW capacity</w:t>
      </w:r>
    </w:p>
    <w:p>
      <w:r>
        <w:t xml:space="preserve"/>
      </w:r>
    </w:p>
    <w:p>
      <w:r>
        <w:br w:type="page"/>
      </w:r>
    </w:p>
    <w:p>
      <w:pPr>
        <w:pStyle w:val="Heading1"/>
        <w:spacing w:after="150" w:before="300"/>
      </w:pPr>
      <w:r>
        <w:rPr>
          <w:rFonts w:ascii="Arial" w:cs="Arial" w:eastAsia="Arial" w:hAnsi="Arial"/>
          <w:b/>
          <w:bCs/>
          <w:color w:val="1A3C2E"/>
          <w:sz w:val="32"/>
          <w:szCs w:val="32"/>
        </w:rPr>
        <w:t xml:space="preserve">3. Cost-Benefit Analysis</w:t>
      </w:r>
    </w:p>
    <w:p>
      <w:pPr>
        <w:spacing w:after="80" w:before="80"/>
      </w:pPr>
      <w:r>
        <w:rPr>
          <w:rFonts w:ascii="Arial" w:cs="Arial" w:eastAsia="Arial" w:hAnsi="Arial"/>
          <w:color w:val="333333"/>
          <w:sz w:val="22"/>
          <w:szCs w:val="22"/>
        </w:rPr>
        <w:t xml:space="preserve">The following table summarises the cost-benefit analysis for each utility: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gridSpan w:val="1"/>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Utility</w:t>
            </w:r>
          </w:p>
        </w:tc>
        <w:tc>
          <w:tcPr>
            <w:tcW w:type="dxa" w:w="2340"/>
            <w:gridSpan w:val="1"/>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Capacity (kW)</w:t>
            </w:r>
          </w:p>
        </w:tc>
        <w:tc>
          <w:tcPr>
            <w:tcW w:type="dxa" w:w="2340"/>
            <w:gridSpan w:val="1"/>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Cost (Rs.L)</w:t>
            </w:r>
          </w:p>
        </w:tc>
        <w:tc>
          <w:tcPr>
            <w:tcW w:type="dxa" w:w="2340"/>
            <w:gridSpan w:val="1"/>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Subsidy (Rs.L)</w:t>
            </w:r>
          </w:p>
        </w:tc>
        <w:tc>
          <w:tcPr>
            <w:tcW w:type="dxa" w:w="2340"/>
            <w:gridSpan w:val="1"/>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Net Cost (Rs.L)</w:t>
            </w:r>
          </w:p>
        </w:tc>
      </w:tr>
      <w:t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bCs/>
                <w:color w:val="1A2A38"/>
                <w:sz w:val="19"/>
                <w:szCs w:val="19"/>
              </w:rPr>
              <w:t xml:space="preserve">Agra Municipal</w:t>
            </w:r>
          </w:p>
        </w:tc>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val="false"/>
                <w:bCs w:val="false"/>
                <w:color w:val="1A2A38"/>
                <w:sz w:val="19"/>
                <w:szCs w:val="19"/>
              </w:rPr>
              <w:t xml:space="preserve">500</w:t>
            </w:r>
          </w:p>
        </w:tc>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val="false"/>
                <w:bCs w:val="false"/>
                <w:color w:val="1A2A38"/>
                <w:sz w:val="19"/>
                <w:szCs w:val="19"/>
              </w:rPr>
              <w:t xml:space="preserve">175.0</w:t>
            </w:r>
          </w:p>
        </w:tc>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val="false"/>
                <w:bCs w:val="false"/>
                <w:color w:val="1A2A38"/>
                <w:sz w:val="19"/>
                <w:szCs w:val="19"/>
              </w:rPr>
              <w:t xml:space="preserve">52.5</w:t>
            </w:r>
          </w:p>
        </w:tc>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1A2A38"/>
                <w:sz w:val="19"/>
                <w:szCs w:val="19"/>
              </w:rPr>
              <w:t xml:space="preserve">122.5</w:t>
            </w:r>
          </w:p>
        </w:tc>
      </w:tr>
      <w:tr>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bCs/>
                <w:color w:val="1A2A38"/>
                <w:sz w:val="19"/>
                <w:szCs w:val="19"/>
              </w:rPr>
              <w:t xml:space="preserve">Lucknow Nagar Nigam</w:t>
            </w:r>
          </w:p>
        </w:tc>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val="false"/>
                <w:bCs w:val="false"/>
                <w:color w:val="1A2A38"/>
                <w:sz w:val="19"/>
                <w:szCs w:val="19"/>
              </w:rPr>
              <w:t xml:space="preserve">750</w:t>
            </w:r>
          </w:p>
        </w:tc>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val="false"/>
                <w:bCs w:val="false"/>
                <w:color w:val="1A2A38"/>
                <w:sz w:val="19"/>
                <w:szCs w:val="19"/>
              </w:rPr>
              <w:t xml:space="preserve">262.5</w:t>
            </w:r>
          </w:p>
        </w:tc>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val="false"/>
                <w:bCs w:val="false"/>
                <w:color w:val="1A2A38"/>
                <w:sz w:val="19"/>
                <w:szCs w:val="19"/>
              </w:rPr>
              <w:t xml:space="preserve">78.75</w:t>
            </w:r>
          </w:p>
        </w:tc>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1A2A38"/>
                <w:sz w:val="19"/>
                <w:szCs w:val="19"/>
              </w:rPr>
              <w:t xml:space="preserve">183.75</w:t>
            </w:r>
          </w:p>
        </w:tc>
      </w:tr>
      <w:tr>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color w:val="1A2A38"/>
                <w:sz w:val="19"/>
                <w:szCs w:val="19"/>
              </w:rPr>
              <w:t xml:space="preserve">Meerut Municipal</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val="false"/>
                <w:bCs w:val="false"/>
                <w:color w:val="1A2A38"/>
                <w:sz w:val="19"/>
                <w:szCs w:val="19"/>
              </w:rPr>
              <w:t xml:space="preserve">300</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val="false"/>
                <w:bCs w:val="false"/>
                <w:color w:val="1A2A38"/>
                <w:sz w:val="19"/>
                <w:szCs w:val="19"/>
              </w:rPr>
              <w:t xml:space="preserve">105.0</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val="false"/>
                <w:bCs w:val="false"/>
                <w:color w:val="1A2A38"/>
                <w:sz w:val="19"/>
                <w:szCs w:val="19"/>
              </w:rPr>
              <w:t xml:space="preserve">31.5</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bCs/>
                <w:color w:val="1A2A38"/>
                <w:sz w:val="19"/>
                <w:szCs w:val="19"/>
              </w:rPr>
              <w:t xml:space="preserve">73.5</w:t>
            </w:r>
          </w:p>
        </w:tc>
      </w:tr>
    </w:tbl>
    <w:p>
      <w:r>
        <w:t xml:space="preserve"/>
      </w:r>
    </w:p>
    <w:p>
      <w:pPr>
        <w:pStyle w:val="Heading1"/>
        <w:spacing w:after="150" w:before="300"/>
      </w:pPr>
      <w:r>
        <w:rPr>
          <w:rFonts w:ascii="Arial" w:cs="Arial" w:eastAsia="Arial" w:hAnsi="Arial"/>
          <w:b/>
          <w:bCs/>
          <w:color w:val="1A3C2E"/>
          <w:sz w:val="32"/>
          <w:szCs w:val="32"/>
        </w:rPr>
        <w:t xml:space="preserve">4. NPV &amp; IRR Analysis</w:t>
      </w:r>
    </w:p>
    <w:p>
      <w:pPr>
        <w:spacing w:after="80" w:before="80"/>
      </w:pPr>
      <w:r>
        <w:rPr>
          <w:rFonts w:ascii="Arial" w:cs="Arial" w:eastAsia="Arial" w:hAnsi="Arial"/>
          <w:color w:val="333333"/>
          <w:sz w:val="22"/>
          <w:szCs w:val="22"/>
        </w:rPr>
        <w:t xml:space="preserve">All three utilities demonstrate strong financial returns as shown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340"/>
            <w:gridSpan w:val="1"/>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Utility</w:t>
            </w:r>
          </w:p>
        </w:tc>
        <w:tc>
          <w:tcPr>
            <w:tcW w:type="dxa" w:w="2340"/>
            <w:gridSpan w:val="1"/>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Investment (Rs.L)</w:t>
            </w:r>
          </w:p>
        </w:tc>
        <w:tc>
          <w:tcPr>
            <w:tcW w:type="dxa" w:w="2340"/>
            <w:gridSpan w:val="1"/>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Annual Savings (Rs.L)</w:t>
            </w:r>
          </w:p>
        </w:tc>
        <w:tc>
          <w:tcPr>
            <w:tcW w:type="dxa" w:w="2340"/>
            <w:gridSpan w:val="1"/>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IRR (%)</w:t>
            </w:r>
          </w:p>
        </w:tc>
        <w:tc>
          <w:tcPr>
            <w:tcW w:type="dxa" w:w="2340"/>
            <w:gridSpan w:val="1"/>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bCs/>
                <w:color w:val="1A2A38"/>
                <w:sz w:val="19"/>
                <w:szCs w:val="19"/>
              </w:rPr>
              <w:t xml:space="preserve">Agra Municipal</w:t>
            </w:r>
          </w:p>
        </w:tc>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val="false"/>
                <w:bCs w:val="false"/>
                <w:color w:val="1A2A38"/>
                <w:sz w:val="19"/>
                <w:szCs w:val="19"/>
              </w:rPr>
              <w:t xml:space="preserve">122.5</w:t>
            </w:r>
          </w:p>
        </w:tc>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val="false"/>
                <w:bCs w:val="false"/>
                <w:color w:val="1A2A38"/>
                <w:sz w:val="19"/>
                <w:szCs w:val="19"/>
              </w:rPr>
              <w:t xml:space="preserve">28.5</w:t>
            </w:r>
          </w:p>
        </w:tc>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1A2A38"/>
                <w:sz w:val="19"/>
                <w:szCs w:val="19"/>
              </w:rPr>
              <w:t xml:space="preserve">18.2%</w:t>
            </w:r>
          </w:p>
        </w:tc>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1A2A38"/>
                <w:sz w:val="19"/>
                <w:szCs w:val="19"/>
              </w:rPr>
              <w:t xml:space="preserve">VIABLE</w:t>
            </w:r>
          </w:p>
        </w:tc>
      </w:tr>
      <w:tr>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bCs/>
                <w:color w:val="1A2A38"/>
                <w:sz w:val="19"/>
                <w:szCs w:val="19"/>
              </w:rPr>
              <w:t xml:space="preserve">Lucknow Nagar Nigam</w:t>
            </w:r>
          </w:p>
        </w:tc>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val="false"/>
                <w:bCs w:val="false"/>
                <w:color w:val="1A2A38"/>
                <w:sz w:val="19"/>
                <w:szCs w:val="19"/>
              </w:rPr>
              <w:t xml:space="preserve">183.75</w:t>
            </w:r>
          </w:p>
        </w:tc>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val="false"/>
                <w:bCs w:val="false"/>
                <w:color w:val="1A2A38"/>
                <w:sz w:val="19"/>
                <w:szCs w:val="19"/>
              </w:rPr>
              <w:t xml:space="preserve">42.0</w:t>
            </w:r>
          </w:p>
        </w:tc>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1A2A38"/>
                <w:sz w:val="19"/>
                <w:szCs w:val="19"/>
              </w:rPr>
              <w:t xml:space="preserve">19.1%</w:t>
            </w:r>
          </w:p>
        </w:tc>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1A2A38"/>
                <w:sz w:val="19"/>
                <w:szCs w:val="19"/>
              </w:rPr>
              <w:t xml:space="preserve">VIABLE</w:t>
            </w:r>
          </w:p>
        </w:tc>
      </w:tr>
      <w:tr>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color w:val="1A2A38"/>
                <w:sz w:val="19"/>
                <w:szCs w:val="19"/>
              </w:rPr>
              <w:t xml:space="preserve">Meerut Municipal</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val="false"/>
                <w:bCs w:val="false"/>
                <w:color w:val="1A2A38"/>
                <w:sz w:val="19"/>
                <w:szCs w:val="19"/>
              </w:rPr>
              <w:t xml:space="preserve">73.5</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val="false"/>
                <w:bCs w:val="false"/>
                <w:color w:val="1A2A38"/>
                <w:sz w:val="19"/>
                <w:szCs w:val="19"/>
              </w:rPr>
              <w:t xml:space="preserve">17.5</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bCs/>
                <w:color w:val="1A2A38"/>
                <w:sz w:val="19"/>
                <w:szCs w:val="19"/>
              </w:rPr>
              <w:t xml:space="preserve">17.8%</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bCs/>
                <w:color w:val="1A2A38"/>
                <w:sz w:val="19"/>
                <w:szCs w:val="19"/>
              </w:rPr>
              <w:t xml:space="preserve">VIABLE</w:t>
            </w:r>
          </w:p>
        </w:tc>
      </w:tr>
    </w:tbl>
    <w:p>
      <w:r>
        <w:t xml:space="preserve"/>
      </w:r>
    </w:p>
    <w:p>
      <w:r>
        <w:br w:type="page"/>
      </w:r>
    </w:p>
    <w:p>
      <w:pPr>
        <w:pStyle w:val="Heading1"/>
        <w:spacing w:after="150" w:before="300"/>
      </w:pPr>
      <w:r>
        <w:rPr>
          <w:rFonts w:ascii="Arial" w:cs="Arial" w:eastAsia="Arial" w:hAnsi="Arial"/>
          <w:b/>
          <w:bCs/>
          <w:color w:val="1A3C2E"/>
          <w:sz w:val="32"/>
          <w:szCs w:val="32"/>
        </w:rPr>
        <w:t xml:space="preserve">5. PM Surya Ghar Yojana — Subsidy Mapping</w:t>
      </w:r>
    </w:p>
    <w:p>
      <w:pPr>
        <w:pStyle w:val="ListParagraph"/>
        <w:numPr>
          <w:ilvl w:val="0"/>
          <w:numId w:val="2"/>
        </w:numPr>
        <w:spacing w:after="60" w:before="60"/>
      </w:pPr>
      <w:r>
        <w:rPr>
          <w:rFonts w:ascii="Arial" w:cs="Arial" w:eastAsia="Arial" w:hAnsi="Arial"/>
          <w:color w:val="333333"/>
          <w:sz w:val="22"/>
          <w:szCs w:val="22"/>
        </w:rPr>
        <w:t xml:space="preserve">Central Subsidy: Rs. 30,000/kW up to 2kW; Rs. 18,000/kW for 2-3kW</w:t>
      </w:r>
    </w:p>
    <w:p>
      <w:pPr>
        <w:pStyle w:val="ListParagraph"/>
        <w:numPr>
          <w:ilvl w:val="0"/>
          <w:numId w:val="2"/>
        </w:numPr>
        <w:spacing w:after="60" w:before="60"/>
      </w:pPr>
      <w:r>
        <w:rPr>
          <w:rFonts w:ascii="Arial" w:cs="Arial" w:eastAsia="Arial" w:hAnsi="Arial"/>
          <w:color w:val="333333"/>
          <w:sz w:val="22"/>
          <w:szCs w:val="22"/>
        </w:rPr>
        <w:t xml:space="preserve">State Top-up (UP): Additional 30% on central subsidy</w:t>
      </w:r>
    </w:p>
    <w:p>
      <w:pPr>
        <w:pStyle w:val="ListParagraph"/>
        <w:numPr>
          <w:ilvl w:val="0"/>
          <w:numId w:val="2"/>
        </w:numPr>
        <w:spacing w:after="60" w:before="60"/>
      </w:pPr>
      <w:r>
        <w:rPr>
          <w:rFonts w:ascii="Arial" w:cs="Arial" w:eastAsia="Arial" w:hAnsi="Arial"/>
          <w:color w:val="333333"/>
          <w:sz w:val="22"/>
          <w:szCs w:val="22"/>
        </w:rPr>
        <w:t xml:space="preserve">Net Metering: Sell excess power to grid at Rs. 3.5/unit</w:t>
      </w:r>
    </w:p>
    <w:p>
      <w:pPr>
        <w:pStyle w:val="ListParagraph"/>
        <w:numPr>
          <w:ilvl w:val="0"/>
          <w:numId w:val="2"/>
        </w:numPr>
        <w:spacing w:after="60" w:before="60"/>
      </w:pPr>
      <w:r>
        <w:rPr>
          <w:rFonts w:ascii="Arial" w:cs="Arial" w:eastAsia="Arial" w:hAnsi="Arial"/>
          <w:color w:val="333333"/>
          <w:sz w:val="22"/>
          <w:szCs w:val="22"/>
        </w:rPr>
        <w:t xml:space="preserve">Collateral-free bank loans up to Rs. 2 lakh at 7% interest</w:t>
      </w:r>
    </w:p>
    <w:p>
      <w:pPr>
        <w:pStyle w:val="ListParagraph"/>
        <w:numPr>
          <w:ilvl w:val="0"/>
          <w:numId w:val="2"/>
        </w:numPr>
        <w:spacing w:after="60" w:before="60"/>
      </w:pPr>
      <w:r>
        <w:rPr>
          <w:rFonts w:ascii="Arial" w:cs="Arial" w:eastAsia="Arial" w:hAnsi="Arial"/>
          <w:color w:val="333333"/>
          <w:sz w:val="22"/>
          <w:szCs w:val="22"/>
        </w:rPr>
        <w:t xml:space="preserve">Property tax rebate of 10% for solar adopters (proposed)</w:t>
      </w:r>
    </w:p>
    <w:p>
      <w:r>
        <w:t xml:space="preserve"/>
      </w:r>
    </w:p>
    <w:p>
      <w:pPr>
        <w:pStyle w:val="Heading1"/>
        <w:spacing w:after="150" w:before="300"/>
      </w:pPr>
      <w:r>
        <w:rPr>
          <w:rFonts w:ascii="Arial" w:cs="Arial" w:eastAsia="Arial" w:hAnsi="Arial"/>
          <w:b/>
          <w:bCs/>
          <w:color w:val="1A3C2E"/>
          <w:sz w:val="32"/>
          <w:szCs w:val="32"/>
        </w:rPr>
        <w:t xml:space="preserve">6. Recommendations</w:t>
      </w:r>
    </w:p>
    <w:p>
      <w:pPr>
        <w:pStyle w:val="Heading2"/>
        <w:spacing w:after="100" w:before="200"/>
      </w:pPr>
      <w:r>
        <w:rPr>
          <w:rFonts w:ascii="Arial" w:cs="Arial" w:eastAsia="Arial" w:hAnsi="Arial"/>
          <w:b/>
          <w:bCs/>
          <w:color w:val="2D7A4F"/>
          <w:sz w:val="26"/>
          <w:szCs w:val="26"/>
        </w:rPr>
        <w:t xml:space="preserve">6.1 Priority Actions</w:t>
      </w:r>
    </w:p>
    <w:p>
      <w:pPr>
        <w:pStyle w:val="ListParagraph"/>
        <w:numPr>
          <w:ilvl w:val="0"/>
          <w:numId w:val="2"/>
        </w:numPr>
        <w:spacing w:after="60" w:before="60"/>
      </w:pPr>
      <w:r>
        <w:rPr>
          <w:rFonts w:ascii="Arial" w:cs="Arial" w:eastAsia="Arial" w:hAnsi="Arial"/>
          <w:color w:val="333333"/>
          <w:sz w:val="22"/>
          <w:szCs w:val="22"/>
        </w:rPr>
        <w:t xml:space="preserve">Fast-track Lucknow Nagar Nigam (750 kW) as highest-impact project</w:t>
      </w:r>
    </w:p>
    <w:p>
      <w:pPr>
        <w:pStyle w:val="ListParagraph"/>
        <w:numPr>
          <w:ilvl w:val="0"/>
          <w:numId w:val="2"/>
        </w:numPr>
        <w:spacing w:after="60" w:before="60"/>
      </w:pPr>
      <w:r>
        <w:rPr>
          <w:rFonts w:ascii="Arial" w:cs="Arial" w:eastAsia="Arial" w:hAnsi="Arial"/>
          <w:color w:val="333333"/>
          <w:sz w:val="22"/>
          <w:szCs w:val="22"/>
        </w:rPr>
        <w:t xml:space="preserve">Apply for PM Surya Ghar Yojana subsidies immediately</w:t>
      </w:r>
    </w:p>
    <w:p>
      <w:pPr>
        <w:pStyle w:val="ListParagraph"/>
        <w:numPr>
          <w:ilvl w:val="0"/>
          <w:numId w:val="2"/>
        </w:numPr>
        <w:spacing w:after="60" w:before="60"/>
      </w:pPr>
      <w:r>
        <w:rPr>
          <w:rFonts w:ascii="Arial" w:cs="Arial" w:eastAsia="Arial" w:hAnsi="Arial"/>
          <w:color w:val="333333"/>
          <w:sz w:val="22"/>
          <w:szCs w:val="22"/>
        </w:rPr>
        <w:t xml:space="preserve">Engage UPNEDA for technical support and grid connectivity</w:t>
      </w:r>
    </w:p>
    <w:p>
      <w:pPr>
        <w:pStyle w:val="ListParagraph"/>
        <w:numPr>
          <w:ilvl w:val="0"/>
          <w:numId w:val="2"/>
        </w:numPr>
        <w:spacing w:after="60" w:before="60"/>
      </w:pPr>
      <w:r>
        <w:rPr>
          <w:rFonts w:ascii="Arial" w:cs="Arial" w:eastAsia="Arial" w:hAnsi="Arial"/>
          <w:color w:val="333333"/>
          <w:sz w:val="22"/>
          <w:szCs w:val="22"/>
        </w:rPr>
        <w:t xml:space="preserve">Conduct detailed structural assessment of rooftops</w:t>
      </w:r>
    </w:p>
    <w:p>
      <w:pPr>
        <w:pStyle w:val="ListParagraph"/>
        <w:numPr>
          <w:ilvl w:val="0"/>
          <w:numId w:val="2"/>
        </w:numPr>
        <w:spacing w:after="60" w:before="60"/>
      </w:pPr>
      <w:r>
        <w:rPr>
          <w:rFonts w:ascii="Arial" w:cs="Arial" w:eastAsia="Arial" w:hAnsi="Arial"/>
          <w:color w:val="333333"/>
          <w:sz w:val="22"/>
          <w:szCs w:val="22"/>
        </w:rPr>
        <w:t xml:space="preserve">Initiate vendor empanelment process through competitive tendering</w:t>
      </w:r>
    </w:p>
    <w:p>
      <w:r>
        <w:t xml:space="preserve"/>
      </w:r>
    </w:p>
    <w:p>
      <w:pPr>
        <w:pStyle w:val="Heading2"/>
        <w:spacing w:after="100" w:before="200"/>
      </w:pPr>
      <w:r>
        <w:rPr>
          <w:rFonts w:ascii="Arial" w:cs="Arial" w:eastAsia="Arial" w:hAnsi="Arial"/>
          <w:b/>
          <w:bCs/>
          <w:color w:val="2D7A4F"/>
          <w:sz w:val="26"/>
          <w:szCs w:val="26"/>
        </w:rPr>
        <w:t xml:space="preserve">6.2 Implementation Roadmap</w:t>
      </w:r>
    </w:p>
    <w:p>
      <w:pPr>
        <w:pStyle w:val="ListParagraph"/>
        <w:numPr>
          <w:ilvl w:val="0"/>
          <w:numId w:val="2"/>
        </w:numPr>
        <w:spacing w:after="60" w:before="60"/>
      </w:pPr>
      <w:r>
        <w:rPr>
          <w:rFonts w:ascii="Arial" w:cs="Arial" w:eastAsia="Arial" w:hAnsi="Arial"/>
          <w:color w:val="333333"/>
          <w:sz w:val="22"/>
          <w:szCs w:val="22"/>
        </w:rPr>
        <w:t xml:space="preserve">Phase 1 (Jan-Mar 2025): Site survey and subsidy application</w:t>
      </w:r>
    </w:p>
    <w:p>
      <w:pPr>
        <w:pStyle w:val="ListParagraph"/>
        <w:numPr>
          <w:ilvl w:val="0"/>
          <w:numId w:val="2"/>
        </w:numPr>
        <w:spacing w:after="60" w:before="60"/>
      </w:pPr>
      <w:r>
        <w:rPr>
          <w:rFonts w:ascii="Arial" w:cs="Arial" w:eastAsia="Arial" w:hAnsi="Arial"/>
          <w:color w:val="333333"/>
          <w:sz w:val="22"/>
          <w:szCs w:val="22"/>
        </w:rPr>
        <w:t xml:space="preserve">Phase 2 (Apr-Jun 2025): Vendor selection and equipment ordering</w:t>
      </w:r>
    </w:p>
    <w:p>
      <w:pPr>
        <w:pStyle w:val="ListParagraph"/>
        <w:numPr>
          <w:ilvl w:val="0"/>
          <w:numId w:val="2"/>
        </w:numPr>
        <w:spacing w:after="60" w:before="60"/>
      </w:pPr>
      <w:r>
        <w:rPr>
          <w:rFonts w:ascii="Arial" w:cs="Arial" w:eastAsia="Arial" w:hAnsi="Arial"/>
          <w:color w:val="333333"/>
          <w:sz w:val="22"/>
          <w:szCs w:val="22"/>
        </w:rPr>
        <w:t xml:space="preserve">Phase 3 (Jul-Dec 2025): Installation — Agra and Lucknow</w:t>
      </w:r>
    </w:p>
    <w:p>
      <w:pPr>
        <w:pStyle w:val="ListParagraph"/>
        <w:numPr>
          <w:ilvl w:val="0"/>
          <w:numId w:val="2"/>
        </w:numPr>
        <w:spacing w:after="60" w:before="60"/>
      </w:pPr>
      <w:r>
        <w:rPr>
          <w:rFonts w:ascii="Arial" w:cs="Arial" w:eastAsia="Arial" w:hAnsi="Arial"/>
          <w:color w:val="333333"/>
          <w:sz w:val="22"/>
          <w:szCs w:val="22"/>
        </w:rPr>
        <w:t xml:space="preserve">Phase 4 (Jan-Mar 2026): Installation — Meerut</w:t>
      </w:r>
    </w:p>
    <w:p>
      <w:pPr>
        <w:pStyle w:val="ListParagraph"/>
        <w:numPr>
          <w:ilvl w:val="0"/>
          <w:numId w:val="2"/>
        </w:numPr>
        <w:spacing w:after="60" w:before="60"/>
      </w:pPr>
      <w:r>
        <w:rPr>
          <w:rFonts w:ascii="Arial" w:cs="Arial" w:eastAsia="Arial" w:hAnsi="Arial"/>
          <w:color w:val="333333"/>
          <w:sz w:val="22"/>
          <w:szCs w:val="22"/>
        </w:rPr>
        <w:t xml:space="preserve">Phase 5 (Apr 2026+): Performance monitoring and reporting</w:t>
      </w:r>
    </w:p>
    <w:p>
      <w:r>
        <w:t xml:space="preserve"/>
      </w:r>
    </w:p>
    <w:p>
      <w:pPr>
        <w:pStyle w:val="Heading1"/>
        <w:spacing w:after="150" w:before="300"/>
      </w:pPr>
      <w:r>
        <w:rPr>
          <w:rFonts w:ascii="Arial" w:cs="Arial" w:eastAsia="Arial" w:hAnsi="Arial"/>
          <w:b/>
          <w:bCs/>
          <w:color w:val="1A3C2E"/>
          <w:sz w:val="32"/>
          <w:szCs w:val="32"/>
        </w:rPr>
        <w:t xml:space="preserve">7. Conclusion</w:t>
      </w:r>
    </w:p>
    <w:p>
      <w:pPr>
        <w:spacing w:after="80" w:before="80"/>
      </w:pPr>
      <w:r>
        <w:rPr>
          <w:rFonts w:ascii="Arial" w:cs="Arial" w:eastAsia="Arial" w:hAnsi="Arial"/>
          <w:color w:val="333333"/>
          <w:sz w:val="22"/>
          <w:szCs w:val="22"/>
        </w:rPr>
        <w:t xml:space="preserve">The rooftop solar feasibility study confirms that all three UP municipal utilities — Agra, Lucknow, and Meerut — present highly viable investment opportunities under the PM Surya Ghar Yojana scheme. With IRR values between 17.8% and 19.1% and payback periods under 4.5 years, these projects offer strong financial returns while contributing to India's renewable energy targets and NDC commitments.</w:t>
      </w:r>
    </w:p>
    <w:p>
      <w:r>
        <w:t xml:space="preserve"/>
      </w:r>
    </w:p>
    <w:p>
      <w:pPr>
        <w:spacing w:after="80" w:before="80"/>
      </w:pPr>
      <w:r>
        <w:rPr>
          <w:rFonts w:ascii="Arial" w:cs="Arial" w:eastAsia="Arial" w:hAnsi="Arial"/>
          <w:color w:val="333333"/>
          <w:sz w:val="22"/>
          <w:szCs w:val="22"/>
        </w:rPr>
        <w:t xml:space="preserve">It is recommended that all three utilities proceed with solar installation at the earliest, prioritising Lucknow Nagar Nigam given its highest capacity and savings potential.</w:t>
      </w:r>
    </w:p>
    <w:p>
      <w:r>
        <w:t xml:space="preserve"/>
      </w:r>
    </w:p>
    <w:p>
      <w:pPr>
        <w:spacing w:before="200"/>
      </w:pPr>
      <w:r>
        <w:rPr>
          <w:rFonts w:ascii="Arial" w:cs="Arial" w:eastAsia="Arial" w:hAnsi="Arial"/>
          <w:i/>
          <w:iCs/>
          <w:color w:val="999999"/>
          <w:sz w:val="22"/>
          <w:szCs w:val="22"/>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2026-06-13T09:52:03.366Z</dcterms:created>
  <dcterms:modified xsi:type="dcterms:W3CDTF">2026-06-13T09:52:03.366Z</dcterms:modified>
</cp:coreProperties>
</file>

<file path=docProps/custom.xml><?xml version="1.0" encoding="utf-8"?>
<Properties xmlns="http://schemas.openxmlformats.org/officeDocument/2006/custom-properties" xmlns:vt="http://schemas.openxmlformats.org/officeDocument/2006/docPropsVTypes"/>
</file>