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D1117"/>
            <w:tcBorders>
              <w:top w:val="single" w:sz="0" w:color="0D1117"/>
              <w:left w:val="single" w:sz="0" w:color="0D1117"/>
              <w:bottom w:val="single" w:sz="0" w:color="0D1117"/>
              <w:right w:val="single" w:sz="0" w:color="0D1117"/>
              <w:insideH w:val="single" w:sz="0" w:color="0D1117"/>
              <w:insideV w:val="single" w:sz="0" w:color="0D1117"/>
            </w:tcBorders>
            <w:tcMar>
              <w:top w:w="320" w:type="dxa"/>
              <w:start w:w="300" w:type="dxa"/>
              <w:bottom w:w="280" w:type="dxa"/>
              <w:end w:w="300" w:type="dxa"/>
            </w:tcMar>
          </w:tcPr>
          <w:p>
            <w:pPr>
              <w:spacing w:after="320"/>
            </w:pPr>
            <w:r>
              <w:rPr>
                <w:rFonts w:ascii="Hiragino Sans GB" w:hAnsi="Hiragino Sans GB" w:eastAsia="Hiragino Sans GB"/>
                <w:b/>
                <w:color w:val="C7FF4A"/>
                <w:sz w:val="18"/>
              </w:rPr>
              <w:t>PINME-MESH / ARCHITECTURE BLUEPAPER</w:t>
            </w:r>
          </w:p>
          <w:p>
            <w:pPr>
              <w:spacing w:after="200"/>
            </w:pPr>
            <w:r>
              <w:rPr>
                <w:rFonts w:ascii="Hiragino Sans GB" w:hAnsi="Hiragino Sans GB" w:eastAsia="Hiragino Sans GB"/>
                <w:b/>
                <w:color w:val="FFFFFF"/>
                <w:sz w:val="56"/>
              </w:rPr>
              <w:t>把复杂目标，变成</w:t>
              <w:br/>
              <w:t>可验证的 Agent 协作网络</w:t>
            </w:r>
          </w:p>
          <w:p>
            <w:pPr>
              <w:spacing w:after="280"/>
            </w:pPr>
            <w:r>
              <w:rPr>
                <w:rFonts w:ascii="Hiragino Sans GB" w:hAnsi="Hiragino Sans GB" w:eastAsia="Hiragino Sans GB"/>
                <w:color w:val="B8C7CD"/>
                <w:sz w:val="23"/>
              </w:rPr>
              <w:t>可信编排 · 专业 Agent · PinMe/IPFS 成果包 · 测试网结算与贡献治理</w:t>
            </w:r>
          </w:p>
          <w:p>
            <w:r>
              <w:rPr>
                <w:rFonts w:ascii="Hiragino Sans GB" w:hAnsi="Hiragino Sans GB" w:eastAsia="Hiragino Sans GB"/>
                <w:b/>
                <w:color w:val="16B8D4"/>
                <w:sz w:val="17"/>
              </w:rPr>
              <w:t>架构蓝皮书 / 融资路演版 / 2026.08.30</w:t>
            </w:r>
          </w:p>
        </w:tc>
      </w:tr>
    </w:tbl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 descr="pinme-mesh 端到端参考架构主视觉：任务、编排、Agent、证据和结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me-mesh-architecture-hero-202608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Hiragino Sans GB" w:hAnsi="Hiragino Sans GB" w:eastAsia="Hiragino Sans GB"/>
          <w:b/>
          <w:color w:val="66727A"/>
          <w:sz w:val="16"/>
        </w:rPr>
        <w:t xml:space="preserve">LIVE  </w:t>
      </w:r>
      <w:hyperlink r:id="rId12">
        <w:r>
          <w:rPr>
            <w:color w:val="16B8D4"/>
            <w:u w:val="single"/>
            <w:rFonts w:ascii="Hiragino Sans GB" w:hAnsi="Hiragino Sans GB" w:eastAsia="Hiragino Sans GB"/>
          </w:rPr>
          <w:t>mesh-pinme.pinme.dev</w:t>
        </w:r>
      </w:hyperlink>
      <w:r>
        <w:rPr>
          <w:rFonts w:ascii="Hiragino Sans GB" w:hAnsi="Hiragino Sans GB" w:eastAsia="Hiragino Sans GB"/>
          <w:b/>
          <w:color w:val="66727A"/>
          <w:sz w:val="16"/>
        </w:rPr>
        <w:t xml:space="preserve">   ·   SEPOLIA TESTNET DEMO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01 / EXECUTIVE THESIS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不是让模型多说，而是让复杂工作真正完成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pinme-mesh 把目标、能力、过程、成果证据与结算放进同一条可审计链路。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C7FF4A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2FAD9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投资命题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Agent 经济真正缺少的不是另一个聊天入口，而是一层能把多步骤执行、质量验收、可验证成果和资金状态连接起来的协作基础设施。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rPr>
          <w:trHeight w:hRule="atLeast" w:val="1267"/>
        </w:trPr>
        <w:tc>
          <w:tcPr>
            <w:tcW w:type="dxa" w:w="4579"/>
            <w:shd w:fill="F5F7F3"/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  <w:tcMar>
              <w:top w:w="105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6B8D4"/>
                <w:sz w:val="36"/>
              </w:rPr>
              <w:t>6</w:t>
            </w:r>
          </w:p>
          <w:p>
            <w:pPr>
              <w:spacing w:after="20"/>
            </w:pPr>
            <w:r>
              <w:rPr>
                <w:rFonts w:ascii="Hiragino Sans GB" w:hAnsi="Hiragino Sans GB" w:eastAsia="Hiragino Sans GB"/>
                <w:b/>
                <w:color w:val="151A1E"/>
                <w:sz w:val="19"/>
              </w:rPr>
              <w:t>真实 AI 编排步骤</w:t>
            </w:r>
          </w:p>
          <w:p>
            <w:r>
              <w:rPr>
                <w:rFonts w:ascii="Hiragino Sans GB" w:hAnsi="Hiragino Sans GB" w:eastAsia="Hiragino Sans GB"/>
                <w:color w:val="66727A"/>
                <w:sz w:val="16"/>
              </w:rPr>
              <w:t>AI 编排多少步，运行时就执行多少步</w:t>
            </w:r>
          </w:p>
        </w:tc>
        <w:tc>
          <w:tcPr>
            <w:tcW w:type="dxa" w:w="4579"/>
            <w:shd w:fill="F5F7F3"/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  <w:tcMar>
              <w:top w:w="105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C7FF4A"/>
                <w:sz w:val="36"/>
              </w:rPr>
              <w:t>3</w:t>
            </w:r>
          </w:p>
          <w:p>
            <w:pPr>
              <w:spacing w:after="20"/>
            </w:pPr>
            <w:r>
              <w:rPr>
                <w:rFonts w:ascii="Hiragino Sans GB" w:hAnsi="Hiragino Sans GB" w:eastAsia="Hiragino Sans GB"/>
                <w:b/>
                <w:color w:val="151A1E"/>
                <w:sz w:val="19"/>
              </w:rPr>
              <w:t>专业角色 Agent</w:t>
            </w:r>
          </w:p>
          <w:p>
            <w:r>
              <w:rPr>
                <w:rFonts w:ascii="Hiragino Sans GB" w:hAnsi="Hiragino Sans GB" w:eastAsia="Hiragino Sans GB"/>
                <w:color w:val="66727A"/>
                <w:sz w:val="16"/>
              </w:rPr>
              <w:t>Strategy / Evidence / Delivery</w:t>
            </w:r>
          </w:p>
        </w:tc>
      </w:tr>
      <w:tr>
        <w:trPr>
          <w:trHeight w:hRule="atLeast" w:val="1267"/>
        </w:trPr>
        <w:tc>
          <w:tcPr>
            <w:tcW w:type="dxa" w:w="4579"/>
            <w:shd w:fill="F5F7F3"/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  <w:tcMar>
              <w:top w:w="105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6B8D4"/>
                <w:sz w:val="36"/>
              </w:rPr>
              <w:t>9</w:t>
            </w:r>
          </w:p>
          <w:p>
            <w:pPr>
              <w:spacing w:after="20"/>
            </w:pPr>
            <w:r>
              <w:rPr>
                <w:rFonts w:ascii="Hiragino Sans GB" w:hAnsi="Hiragino Sans GB" w:eastAsia="Hiragino Sans GB"/>
                <w:b/>
                <w:color w:val="151A1E"/>
                <w:sz w:val="19"/>
              </w:rPr>
              <w:t>最终成果包文件</w:t>
            </w:r>
          </w:p>
          <w:p>
            <w:r>
              <w:rPr>
                <w:rFonts w:ascii="Hiragino Sans GB" w:hAnsi="Hiragino Sans GB" w:eastAsia="Hiragino Sans GB"/>
                <w:color w:val="66727A"/>
                <w:sz w:val="16"/>
              </w:rPr>
              <w:t>5 条工作流汇总为客户可读成果</w:t>
            </w:r>
          </w:p>
        </w:tc>
        <w:tc>
          <w:tcPr>
            <w:tcW w:type="dxa" w:w="4579"/>
            <w:shd w:fill="F5F7F3"/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  <w:tcMar>
              <w:top w:w="105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C7FF4A"/>
                <w:sz w:val="36"/>
              </w:rPr>
              <w:t>4/4</w:t>
            </w:r>
          </w:p>
          <w:p>
            <w:pPr>
              <w:spacing w:after="20"/>
            </w:pPr>
            <w:r>
              <w:rPr>
                <w:rFonts w:ascii="Hiragino Sans GB" w:hAnsi="Hiragino Sans GB" w:eastAsia="Hiragino Sans GB"/>
                <w:b/>
                <w:color w:val="151A1E"/>
                <w:sz w:val="19"/>
              </w:rPr>
              <w:t>当前交付核验</w:t>
            </w:r>
          </w:p>
          <w:p>
            <w:r>
              <w:rPr>
                <w:rFonts w:ascii="Hiragino Sans GB" w:hAnsi="Hiragino Sans GB" w:eastAsia="Hiragino Sans GB"/>
                <w:color w:val="66727A"/>
                <w:sz w:val="16"/>
              </w:rPr>
              <w:t>CID、Manifest 与文件哈希可核对</w:t>
            </w:r>
          </w:p>
        </w:tc>
      </w:tr>
    </w:tbl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为什么是一个系统，而不是一组提示词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复杂目标首先被编译成动态 DAG；并行、Join、人工 Gate、重试和 attempt 都由统一状态机约束。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三位内置 Agent 共享 PinMe LLM 接口，但通过角色提示词、上下文边界和输出契约形成专业分工。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成果不是一段 JSON：Worker 自动生成多文件成果包，发布到 PinMe/IPFS，并把根 CID 与版本证据冻结到验收档案。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资金与争议服从独立托管状态；PM 只表示测试网贡献与治理，不与任务原资产混账。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16B8D4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E8F8FB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当前验证基线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线上独立域名已发布；真实任务 TASK-2026-CA9B17 已完成 6 步 / 3 Agent 执行；最终成果包 5 条工作流、9 个文件；后端回归 189/189。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02 / PROBLEM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传统 LLM 交付在复杂任务上断在哪里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文本生成可以很快，但任务完成需要状态、责任、证据和结算。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96"/>
        <w:gridCol w:w="4752"/>
      </w:tblGrid>
      <w:tr>
        <w:tc>
          <w:tcPr>
            <w:tcW w:type="dxa" w:w="151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断点</w:t>
            </w:r>
          </w:p>
        </w:tc>
        <w:tc>
          <w:tcPr>
            <w:tcW w:type="dxa" w:w="3096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聊天式产品</w:t>
            </w:r>
          </w:p>
        </w:tc>
        <w:tc>
          <w:tcPr>
            <w:tcW w:type="dxa" w:w="475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pinme-mesh 的系统回应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目标</w:t>
            </w:r>
          </w:p>
        </w:tc>
        <w:tc>
          <w:tcPr>
            <w:tcW w:type="dxa" w:w="309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一句自然语言被压缩成一次回答</w:t>
            </w:r>
          </w:p>
        </w:tc>
        <w:tc>
          <w:tcPr>
            <w:tcW w:type="dxa" w:w="475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目标被编译为可执行 DAG 与验收标准</w:t>
            </w:r>
          </w:p>
        </w:tc>
      </w:tr>
      <w:tr>
        <w:tc>
          <w:tcPr>
            <w:tcW w:type="dxa" w:w="151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责任</w:t>
            </w:r>
          </w:p>
        </w:tc>
        <w:tc>
          <w:tcPr>
            <w:tcW w:type="dxa" w:w="309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没有稳定的角色、阶段和归属</w:t>
            </w:r>
          </w:p>
        </w:tc>
        <w:tc>
          <w:tcPr>
            <w:tcW w:type="dxa" w:w="475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Agent、阶段、attempt、回调与权限显式绑定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质量</w:t>
            </w:r>
          </w:p>
        </w:tc>
        <w:tc>
          <w:tcPr>
            <w:tcW w:type="dxa" w:w="309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只看文字是否像答案</w:t>
            </w:r>
          </w:p>
        </w:tc>
        <w:tc>
          <w:tcPr>
            <w:tcW w:type="dxa" w:w="475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Trial、Endpoint 健康、履约统计、结构化反馈与复核</w:t>
            </w:r>
          </w:p>
        </w:tc>
      </w:tr>
      <w:tr>
        <w:tc>
          <w:tcPr>
            <w:tcW w:type="dxa" w:w="151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成果</w:t>
            </w:r>
          </w:p>
        </w:tc>
        <w:tc>
          <w:tcPr>
            <w:tcW w:type="dxa" w:w="309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长文本或格式化 JSON</w:t>
            </w:r>
          </w:p>
        </w:tc>
        <w:tc>
          <w:tcPr>
            <w:tcW w:type="dxa" w:w="475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客户可读的 Markdown / HTML 多文件成果包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证据</w:t>
            </w:r>
          </w:p>
        </w:tc>
        <w:tc>
          <w:tcPr>
            <w:tcW w:type="dxa" w:w="309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链接可变、版本不可核对</w:t>
            </w:r>
          </w:p>
        </w:tc>
        <w:tc>
          <w:tcPr>
            <w:tcW w:type="dxa" w:w="475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CID、Manifest、逐文件哈希和父版本</w:t>
            </w:r>
          </w:p>
        </w:tc>
      </w:tr>
      <w:tr>
        <w:tc>
          <w:tcPr>
            <w:tcW w:type="dxa" w:w="151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结算</w:t>
            </w:r>
          </w:p>
        </w:tc>
        <w:tc>
          <w:tcPr>
            <w:tcW w:type="dxa" w:w="309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协作与资金分离</w:t>
            </w:r>
          </w:p>
        </w:tc>
        <w:tc>
          <w:tcPr>
            <w:tcW w:type="dxa" w:w="475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托管、验收、冻结、退款与仲裁状态统一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产品边界的第一原则</w:t>
      </w:r>
    </w:p>
    <w:p>
      <w:pPr>
        <w:spacing w:after="120" w:line="293" w:lineRule="auto"/>
      </w:pPr>
      <w:r>
        <w:rPr>
          <w:rFonts w:ascii="Hiragino Sans GB" w:hAnsi="Hiragino Sans GB" w:eastAsia="Hiragino Sans GB"/>
          <w:color w:val="151A1E"/>
          <w:sz w:val="20"/>
        </w:rPr>
        <w:t>平台只把能够独立使用、能够核对版本、能够进入验收的内容定义为客户交付物。运行时 JSON、内部事件和模型底稿保留为技术证据，但不会伪装成客户价值。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C7FF4A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2FAD9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价值跃迁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从“输出答案”升级为“组织执行”：把复杂工作拆分、派发、观察、复核、打包、发布和结算，形成可重复的基础设施。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目标客户与初始场景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需要多步骤研究、分析、内容生产、软件交付或运营执行的任务方。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提供真实 HTTPS Endpoint，希望以可验证履约记录进入市场的 Agent 开发者。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需要验收证据、版本回溯、争议冻结和链上结算边界的协作网络。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03 / PRODUCT LOOP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一条链路：从复杂目标到可验证结算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体验层只展示真实状态；每一步都由控制面与证据层支撑。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D1117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30" w:type="dxa"/>
              <w:start w:w="85" w:type="dxa"/>
              <w:bottom w:w="130" w:type="dxa"/>
              <w:end w:w="8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01 目标</w:t>
            </w:r>
          </w:p>
        </w:tc>
        <w:tc>
          <w:tcPr>
            <w:tcW w:type="dxa" w:w="1814"/>
            <w:shd w:fill="16B8D4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30" w:type="dxa"/>
              <w:start w:w="85" w:type="dxa"/>
              <w:bottom w:w="130" w:type="dxa"/>
              <w:end w:w="8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02 编排</w:t>
            </w:r>
          </w:p>
        </w:tc>
        <w:tc>
          <w:tcPr>
            <w:tcW w:type="dxa" w:w="1814"/>
            <w:shd w:fill="0D1117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30" w:type="dxa"/>
              <w:start w:w="85" w:type="dxa"/>
              <w:bottom w:w="130" w:type="dxa"/>
              <w:end w:w="8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03 执行</w:t>
            </w:r>
          </w:p>
        </w:tc>
        <w:tc>
          <w:tcPr>
            <w:tcW w:type="dxa" w:w="1814"/>
            <w:shd w:fill="C7FF4A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30" w:type="dxa"/>
              <w:start w:w="85" w:type="dxa"/>
              <w:bottom w:w="130" w:type="dxa"/>
              <w:end w:w="8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04 证据</w:t>
            </w:r>
          </w:p>
        </w:tc>
        <w:tc>
          <w:tcPr>
            <w:tcW w:type="dxa" w:w="1814"/>
            <w:shd w:fill="0D1117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30" w:type="dxa"/>
              <w:start w:w="85" w:type="dxa"/>
              <w:bottom w:w="130" w:type="dxa"/>
              <w:end w:w="8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05 结算</w:t>
            </w:r>
          </w:p>
        </w:tc>
      </w:tr>
      <w:tr>
        <w:tc>
          <w:tcPr>
            <w:tcW w:type="dxa" w:w="1814"/>
            <w:shd w:fill="F5F7F3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66727A"/>
                <w:sz w:val="16"/>
              </w:rPr>
              <w:t>结果、预算、验收标准</w:t>
            </w:r>
          </w:p>
        </w:tc>
        <w:tc>
          <w:tcPr>
            <w:tcW w:type="dxa" w:w="1814"/>
            <w:shd w:fill="F5F7F3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66727A"/>
                <w:sz w:val="16"/>
              </w:rPr>
              <w:t>动态 DAG / Gate / Join</w:t>
            </w:r>
          </w:p>
        </w:tc>
        <w:tc>
          <w:tcPr>
            <w:tcW w:type="dxa" w:w="1814"/>
            <w:shd w:fill="F5F7F3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66727A"/>
                <w:sz w:val="16"/>
              </w:rPr>
              <w:t>Agent 派发、回调、重试</w:t>
            </w:r>
          </w:p>
        </w:tc>
        <w:tc>
          <w:tcPr>
            <w:tcW w:type="dxa" w:w="1814"/>
            <w:shd w:fill="F5F7F3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66727A"/>
                <w:sz w:val="16"/>
              </w:rPr>
              <w:t>CID / Manifest / 版本</w:t>
            </w:r>
          </w:p>
        </w:tc>
        <w:tc>
          <w:tcPr>
            <w:tcW w:type="dxa" w:w="1814"/>
            <w:shd w:fill="F5F7F3"/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color w:val="66727A"/>
                <w:sz w:val="16"/>
              </w:rPr>
              <w:t>验收、冻结、PM</w:t>
            </w:r>
          </w:p>
        </w:tc>
      </w:tr>
    </w:tbl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运行时的关键约束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3528"/>
      </w:tblGrid>
      <w:tr>
        <w:tc>
          <w:tcPr>
            <w:tcW w:type="dxa" w:w="144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39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系统行为</w:t>
            </w:r>
          </w:p>
        </w:tc>
        <w:tc>
          <w:tcPr>
            <w:tcW w:type="dxa" w:w="3528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不允许发生</w:t>
            </w:r>
          </w:p>
        </w:tc>
      </w:tr>
      <w:tr>
        <w:tc>
          <w:tcPr>
            <w:tcW w:type="dxa" w:w="144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编排</w:t>
            </w:r>
          </w:p>
        </w:tc>
        <w:tc>
          <w:tcPr>
            <w:tcW w:type="dxa" w:w="439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AI 返回 N 步，前端与 Worker 都保存并执行 N 步</w:t>
            </w:r>
          </w:p>
        </w:tc>
        <w:tc>
          <w:tcPr>
            <w:tcW w:type="dxa" w:w="352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固定改成 3 步或把隐藏步骤合并</w:t>
            </w:r>
          </w:p>
        </w:tc>
      </w:tr>
      <w:tr>
        <w:tc>
          <w:tcPr>
            <w:tcW w:type="dxa" w:w="144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派发</w:t>
            </w:r>
          </w:p>
        </w:tc>
        <w:tc>
          <w:tcPr>
            <w:tcW w:type="dxa" w:w="439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多根并行；Join 等待全部前驱；Gate 等待人类决策</w:t>
            </w:r>
          </w:p>
        </w:tc>
        <w:tc>
          <w:tcPr>
            <w:tcW w:type="dxa" w:w="352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跳过依赖或让 Gate 接单/分账</w:t>
            </w:r>
          </w:p>
        </w:tc>
      </w:tr>
      <w:tr>
        <w:tc>
          <w:tcPr>
            <w:tcW w:type="dxa" w:w="144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重试</w:t>
            </w:r>
          </w:p>
        </w:tc>
        <w:tc>
          <w:tcPr>
            <w:tcW w:type="dxa" w:w="439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返工生成新 attempt，旧版本继续留在审计历史</w:t>
            </w:r>
          </w:p>
        </w:tc>
        <w:tc>
          <w:tcPr>
            <w:tcW w:type="dxa" w:w="352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用新输出覆盖旧 CID</w:t>
            </w:r>
          </w:p>
        </w:tc>
      </w:tr>
      <w:tr>
        <w:tc>
          <w:tcPr>
            <w:tcW w:type="dxa" w:w="144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验收</w:t>
            </w:r>
          </w:p>
        </w:tc>
        <w:tc>
          <w:tcPr>
            <w:tcW w:type="dxa" w:w="439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只选择当前 attempt 的客户可用制品</w:t>
            </w:r>
          </w:p>
        </w:tc>
        <w:tc>
          <w:tcPr>
            <w:tcW w:type="dxa" w:w="352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让迟到回调污染已冻结档案</w:t>
            </w:r>
          </w:p>
        </w:tc>
      </w:tr>
      <w:tr>
        <w:tc>
          <w:tcPr>
            <w:tcW w:type="dxa" w:w="144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争议</w:t>
            </w:r>
          </w:p>
        </w:tc>
        <w:tc>
          <w:tcPr>
            <w:tcW w:type="dxa" w:w="439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验收释放与争议冻结只能一个分支成功</w:t>
            </w:r>
          </w:p>
        </w:tc>
        <w:tc>
          <w:tcPr>
            <w:tcW w:type="dxa" w:w="352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并发双结算或重复退款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16B8D4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E8F8FB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可观察性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阶段状态、进度、事件、派发、回调、成果和结算都进入同一任务时间线；SSE 不可用时前端降级为轮询。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04 / REFERENCE ARCHITECTURE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五层架构，把能力和信任边界分开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生成主视觉负责表达系统关系；下面的可编辑图例负责精确技术定义。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2" name="Picture 2" descr="pinme-mesh 五层参考架构：体验、控制面、Agent 智能、证据、结算治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me-mesh-architecture-hero-202608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Hiragino Sans GB" w:hAnsi="Hiragino Sans GB" w:eastAsia="Hiragino Sans GB"/>
          <w:i/>
          <w:color w:val="66727A"/>
          <w:sz w:val="17"/>
        </w:rPr>
        <w:t>图 1：复杂目标 → DAG 编译 → 多 Agent 执行 → 复核验收 → PinMe/IPFS 成果 → 结算治理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7232B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体验层</w:t>
            </w:r>
          </w:p>
        </w:tc>
        <w:tc>
          <w:tcPr>
            <w:tcW w:type="dxa" w:w="1872"/>
            <w:shd w:fill="16B8D4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控制面</w:t>
            </w:r>
          </w:p>
        </w:tc>
        <w:tc>
          <w:tcPr>
            <w:tcW w:type="dxa" w:w="1872"/>
            <w:shd w:fill="17232B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智能层</w:t>
            </w:r>
          </w:p>
        </w:tc>
        <w:tc>
          <w:tcPr>
            <w:tcW w:type="dxa" w:w="1872"/>
            <w:shd w:fill="C7FF4A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证据层</w:t>
            </w:r>
          </w:p>
        </w:tc>
        <w:tc>
          <w:tcPr>
            <w:tcW w:type="dxa" w:w="1872"/>
            <w:shd w:fill="17232B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结算层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C7FF4A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2FAD9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架构判断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前端可以静态托管在 IPFS；真正的控制面在 Worker；信任锚分布在 D1 事件账本、不可变 CID 与 Sepolia 公开状态中。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05 / LAYER SPECIFICATION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当前可运行的系统分层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每一层只承担自己能证明的责任，不把浏览器、模型或域名当作信任根。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232"/>
        <w:gridCol w:w="3384"/>
        <w:gridCol w:w="2520"/>
      </w:tblGrid>
      <w:tr>
        <w:tc>
          <w:tcPr>
            <w:tcW w:type="dxa" w:w="1224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23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当前组件</w:t>
            </w:r>
          </w:p>
        </w:tc>
        <w:tc>
          <w:tcPr>
            <w:tcW w:type="dxa" w:w="3384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核心责任</w:t>
            </w:r>
          </w:p>
        </w:tc>
        <w:tc>
          <w:tcPr>
            <w:tcW w:type="dxa" w:w="252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信任边界</w:t>
            </w:r>
          </w:p>
        </w:tc>
      </w:tr>
      <w:tr>
        <w:tc>
          <w:tcPr>
            <w:tcW w:type="dxa" w:w="12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Experience</w:t>
            </w:r>
          </w:p>
        </w:tc>
        <w:tc>
          <w:tcPr>
            <w:tcW w:type="dxa" w:w="223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React + Vite + Hash Router</w:t>
            </w:r>
          </w:p>
        </w:tc>
        <w:tc>
          <w:tcPr>
            <w:tcW w:type="dxa" w:w="338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任务方/开发者工作台、DAG、验收、3D、钱包</w:t>
            </w:r>
          </w:p>
        </w:tc>
        <w:tc>
          <w:tcPr>
            <w:tcW w:type="dxa" w:w="252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不保存私钥或明文 AppKey</w:t>
            </w:r>
          </w:p>
        </w:tc>
      </w:tr>
      <w:tr>
        <w:tc>
          <w:tcPr>
            <w:tcW w:type="dxa" w:w="122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Control</w:t>
            </w:r>
          </w:p>
        </w:tc>
        <w:tc>
          <w:tcPr>
            <w:tcW w:type="dxa" w:w="223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Cloudflare Worker</w:t>
            </w:r>
          </w:p>
        </w:tc>
        <w:tc>
          <w:tcPr>
            <w:tcW w:type="dxa" w:w="338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认证授权、状态机、派发、回调、验收、上传、CORS</w:t>
            </w:r>
          </w:p>
        </w:tc>
        <w:tc>
          <w:tcPr>
            <w:tcW w:type="dxa" w:w="252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所有外部输入在边界校验</w:t>
            </w:r>
          </w:p>
        </w:tc>
      </w:tr>
      <w:tr>
        <w:tc>
          <w:tcPr>
            <w:tcW w:type="dxa" w:w="12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State</w:t>
            </w:r>
          </w:p>
        </w:tc>
        <w:tc>
          <w:tcPr>
            <w:tcW w:type="dxa" w:w="223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D1 + migrations</w:t>
            </w:r>
          </w:p>
        </w:tc>
        <w:tc>
          <w:tcPr>
            <w:tcW w:type="dxa" w:w="338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任务、阶段、事件、制品、托管、质量、凭据密文</w:t>
            </w:r>
          </w:p>
        </w:tc>
        <w:tc>
          <w:tcPr>
            <w:tcW w:type="dxa" w:w="252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追加式事件与原子不变量</w:t>
            </w:r>
          </w:p>
        </w:tc>
      </w:tr>
      <w:tr>
        <w:tc>
          <w:tcPr>
            <w:tcW w:type="dxa" w:w="122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Intelligence</w:t>
            </w:r>
          </w:p>
        </w:tc>
        <w:tc>
          <w:tcPr>
            <w:tcW w:type="dxa" w:w="223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PinMe chat/completions</w:t>
            </w:r>
          </w:p>
        </w:tc>
        <w:tc>
          <w:tcPr>
            <w:tcW w:type="dxa" w:w="338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工作流编译与三角色内置 Agent 运行</w:t>
            </w:r>
          </w:p>
        </w:tc>
        <w:tc>
          <w:tcPr>
            <w:tcW w:type="dxa" w:w="252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模型失败时节点失败，不交付兜底 JSON</w:t>
            </w:r>
          </w:p>
        </w:tc>
      </w:tr>
      <w:tr>
        <w:tc>
          <w:tcPr>
            <w:tcW w:type="dxa" w:w="12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Evidence</w:t>
            </w:r>
          </w:p>
        </w:tc>
        <w:tc>
          <w:tcPr>
            <w:tcW w:type="dxa" w:w="223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PinMe / IPFS</w:t>
            </w:r>
          </w:p>
        </w:tc>
        <w:tc>
          <w:tcPr>
            <w:tcW w:type="dxa" w:w="338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多文件成果包、CID、Manifest、版本链、冻结快照</w:t>
            </w:r>
          </w:p>
        </w:tc>
        <w:tc>
          <w:tcPr>
            <w:tcW w:type="dxa" w:w="252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公共内容不可删除；敏感内容先加密</w:t>
            </w:r>
          </w:p>
        </w:tc>
      </w:tr>
      <w:tr>
        <w:tc>
          <w:tcPr>
            <w:tcW w:type="dxa" w:w="122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Settlement</w:t>
            </w:r>
          </w:p>
        </w:tc>
        <w:tc>
          <w:tcPr>
            <w:tcW w:type="dxa" w:w="223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Sepolia contracts</w:t>
            </w:r>
          </w:p>
        </w:tc>
        <w:tc>
          <w:tcPr>
            <w:tcW w:type="dxa" w:w="338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mUSDC/sETH 托管、释放、冻结、退款、PM/Power</w:t>
            </w:r>
          </w:p>
        </w:tc>
        <w:tc>
          <w:tcPr>
            <w:tcW w:type="dxa" w:w="252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用户钱包签名；Worker 只验证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部署拓扑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Web：构建后的 frontend/dist 通过 PinMe 发布到 IPFS，并绑定独立 PinMe Domain。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API：PinMe Worker Endpoint 提供控制面；新前端域名必须进入 CORS 白名单并通过 GET 与 OPTIONS 验证。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Data：D1 迁移按编号回放；新增证据、运行控制和用户凭据优先使用 companion table，保留旧数据兼容。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Chain：浏览器读取 Sepolia 公共 RPC，并由用户钱包发起交易；平台没有代签能力。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16B8D4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E8F8FB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可替换性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体验层、模型路由、IPFS Gateway 和链网络都可以演进；任务状态机、证据语义和验收边界是更稳定的深层模块。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06 / CONTROL PLANE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工作流编译器与单一状态机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复杂性向下沉：让用户看见流程，但不承担并发、幂等和失败恢复细节。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编译阶段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接收目标、预算、领域与验收标准，输出动态步骤数量、节点类型、依赖边和 Agent 能力要求。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验证 DAG 无环、节点 ID 唯一、依赖存在、任务节点可分配 Agent；Gate 不参与报价和分账。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支持 AI 草稿与空白画布；确认工作流后生成绑定任务、版本、阶段和 Agent 的邀请。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执行阶段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4464"/>
        <w:gridCol w:w="3240"/>
      </w:tblGrid>
      <w:tr>
        <w:tc>
          <w:tcPr>
            <w:tcW w:type="dxa" w:w="1656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4464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实现语义</w:t>
            </w:r>
          </w:p>
        </w:tc>
        <w:tc>
          <w:tcPr>
            <w:tcW w:type="dxa" w:w="324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投资价值</w:t>
            </w:r>
          </w:p>
        </w:tc>
      </w:tr>
      <w:tr>
        <w:tc>
          <w:tcPr>
            <w:tcW w:type="dxa" w:w="1655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Parallel / Join</w:t>
            </w:r>
          </w:p>
        </w:tc>
        <w:tc>
          <w:tcPr>
            <w:tcW w:type="dxa" w:w="446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多根节点并行；Join 等待全部前驱</w:t>
            </w:r>
          </w:p>
        </w:tc>
        <w:tc>
          <w:tcPr>
            <w:tcW w:type="dxa" w:w="324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处理真实复杂任务，而非线性对话</w:t>
            </w:r>
          </w:p>
        </w:tc>
      </w:tr>
      <w:tr>
        <w:tc>
          <w:tcPr>
            <w:tcW w:type="dxa" w:w="1655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Attempt</w:t>
            </w:r>
          </w:p>
        </w:tc>
        <w:tc>
          <w:tcPr>
            <w:tcW w:type="dxa" w:w="446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每次返工生成新 attempt 与新证据归属</w:t>
            </w:r>
          </w:p>
        </w:tc>
        <w:tc>
          <w:tcPr>
            <w:tcW w:type="dxa" w:w="324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历史不被覆盖，可复盘质量</w:t>
            </w:r>
          </w:p>
        </w:tc>
      </w:tr>
      <w:tr>
        <w:tc>
          <w:tcPr>
            <w:tcW w:type="dxa" w:w="1655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Outbox / Callback</w:t>
            </w:r>
          </w:p>
        </w:tc>
        <w:tc>
          <w:tcPr>
            <w:tcW w:type="dxa" w:w="446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派发与签名回调进入受控命令路径</w:t>
            </w:r>
          </w:p>
        </w:tc>
        <w:tc>
          <w:tcPr>
            <w:tcW w:type="dxa" w:w="324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外部 Agent 可以接入但不能越权</w:t>
            </w:r>
          </w:p>
        </w:tc>
      </w:tr>
      <w:tr>
        <w:tc>
          <w:tcPr>
            <w:tcW w:type="dxa" w:w="1655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Idempotency</w:t>
            </w:r>
          </w:p>
        </w:tc>
        <w:tc>
          <w:tcPr>
            <w:tcW w:type="dxa" w:w="446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键绑定用户、方法、路径与规范体哈希</w:t>
            </w:r>
          </w:p>
        </w:tc>
        <w:tc>
          <w:tcPr>
            <w:tcW w:type="dxa" w:w="324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重放不重复扣款、派发或结算</w:t>
            </w:r>
          </w:p>
        </w:tc>
      </w:tr>
      <w:tr>
        <w:tc>
          <w:tcPr>
            <w:tcW w:type="dxa" w:w="1655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Runtime Control</w:t>
            </w:r>
          </w:p>
        </w:tc>
        <w:tc>
          <w:tcPr>
            <w:tcW w:type="dxa" w:w="446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暂停、继续、取消、重试与变更请求</w:t>
            </w:r>
          </w:p>
        </w:tc>
        <w:tc>
          <w:tcPr>
            <w:tcW w:type="dxa" w:w="324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长任务可运营、可介入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D89015"/>
            <w:tcBorders>
              <w:top w:val="single" w:sz="0" w:color="FFF3DC"/>
              <w:left w:val="single" w:sz="0" w:color="FFF3DC"/>
              <w:bottom w:val="single" w:sz="0" w:color="FFF3DC"/>
              <w:right w:val="single" w:sz="0" w:color="FFF3DC"/>
              <w:insideH w:val="single" w:sz="0" w:color="FFF3DC"/>
              <w:insideV w:val="single" w:sz="0" w:color="FFF3D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FF3DC"/>
            <w:tcBorders>
              <w:top w:val="single" w:sz="0" w:color="FFF3DC"/>
              <w:left w:val="single" w:sz="0" w:color="FFF3DC"/>
              <w:bottom w:val="single" w:sz="0" w:color="FFF3DC"/>
              <w:right w:val="single" w:sz="0" w:color="FFF3DC"/>
              <w:insideH w:val="single" w:sz="0" w:color="FFF3DC"/>
              <w:insideV w:val="single" w:sz="0" w:color="FFF3D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不可变不变量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迟到回调不能覆盖首次终态；验收只结算一次；争议最多一个活跃分支；冻结快照之后的新提交不能污染案件。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07 / AGENT RUNTIME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共享智能底座，专业角色运行时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当前内置 Agent 共用 PinMe LLM，但角色不是文案标签，而是执行契约。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24"/>
        <w:gridCol w:w="4392"/>
      </w:tblGrid>
      <w:tr>
        <w:tc>
          <w:tcPr>
            <w:tcW w:type="dxa" w:w="1944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24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439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上下文与输出约束</w:t>
            </w:r>
          </w:p>
        </w:tc>
      </w:tr>
      <w:tr>
        <w:tc>
          <w:tcPr>
            <w:tcW w:type="dxa" w:w="194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Evidence Scout</w:t>
            </w:r>
          </w:p>
        </w:tc>
        <w:tc>
          <w:tcPr>
            <w:tcW w:type="dxa" w:w="30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证据研究、来源梳理、事实核对</w:t>
            </w:r>
          </w:p>
        </w:tc>
        <w:tc>
          <w:tcPr>
            <w:tcW w:type="dxa" w:w="439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输出可审计研究结果；标注限制、缺口与风险</w:t>
            </w:r>
          </w:p>
        </w:tc>
      </w:tr>
      <w:tr>
        <w:tc>
          <w:tcPr>
            <w:tcW w:type="dxa" w:w="194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Strategy Analyst</w:t>
            </w:r>
          </w:p>
        </w:tc>
        <w:tc>
          <w:tcPr>
            <w:tcW w:type="dxa" w:w="302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目标拆解、比较方案、关键决策</w:t>
            </w:r>
          </w:p>
        </w:tc>
        <w:tc>
          <w:tcPr>
            <w:tcW w:type="dxa" w:w="439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形成选择、权衡、优先级和下一步行动</w:t>
            </w:r>
          </w:p>
        </w:tc>
      </w:tr>
      <w:tr>
        <w:tc>
          <w:tcPr>
            <w:tcW w:type="dxa" w:w="194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Delivery Writer</w:t>
            </w:r>
          </w:p>
        </w:tc>
        <w:tc>
          <w:tcPr>
            <w:tcW w:type="dxa" w:w="30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核心生产、整合、独立复核与最终交付</w:t>
            </w:r>
          </w:p>
        </w:tc>
        <w:tc>
          <w:tcPr>
            <w:tcW w:type="dxa" w:w="439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生成客户可直接使用的结构化成果，而非运行 JSON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C7FF4A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2FAD9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当前模型事实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三位内置 Agent 调用同一 PinMe LLM Endpoint，默认模型 openai/gpt-5.6-sol；差异来自系统提示词、阶段上下文、前序交接和输出 Schema。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内置与第三方 Agent 的统一边界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031"/>
      </w:tblGrid>
      <w:tr>
        <w:tc>
          <w:tcPr>
            <w:tcW w:type="dxa" w:w="151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816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内置 Agent</w:t>
            </w:r>
          </w:p>
        </w:tc>
        <w:tc>
          <w:tcPr>
            <w:tcW w:type="dxa" w:w="403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第三方 Agent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执行</w:t>
            </w:r>
          </w:p>
        </w:tc>
        <w:tc>
          <w:tcPr>
            <w:tcW w:type="dxa" w:w="381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Worker 调用 PinMe LLM</w:t>
            </w:r>
          </w:p>
        </w:tc>
        <w:tc>
          <w:tcPr>
            <w:tcW w:type="dxa" w:w="403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平台派发到真实 HTTPS Endpoint</w:t>
            </w:r>
          </w:p>
        </w:tc>
      </w:tr>
      <w:tr>
        <w:tc>
          <w:tcPr>
            <w:tcW w:type="dxa" w:w="151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准入</w:t>
            </w:r>
          </w:p>
        </w:tc>
        <w:tc>
          <w:tcPr>
            <w:tcW w:type="dxa" w:w="381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官方测试角色</w:t>
            </w:r>
          </w:p>
        </w:tc>
        <w:tc>
          <w:tcPr>
            <w:tcW w:type="dxa" w:w="403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随机挑战 Trial、协议与健康检查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结果</w:t>
            </w:r>
          </w:p>
        </w:tc>
        <w:tc>
          <w:tcPr>
            <w:tcW w:type="dxa" w:w="381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结构化输出 + Worker 打包发布</w:t>
            </w:r>
          </w:p>
        </w:tc>
        <w:tc>
          <w:tcPr>
            <w:tcW w:type="dxa" w:w="403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签名回调 + 已发布制品 CID</w:t>
            </w:r>
          </w:p>
        </w:tc>
      </w:tr>
      <w:tr>
        <w:tc>
          <w:tcPr>
            <w:tcW w:type="dxa" w:w="151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质量</w:t>
            </w:r>
          </w:p>
        </w:tc>
        <w:tc>
          <w:tcPr>
            <w:tcW w:type="dxa" w:w="381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角色门禁、复核、客户制品策略</w:t>
            </w:r>
          </w:p>
        </w:tc>
        <w:tc>
          <w:tcPr>
            <w:tcW w:type="dxa" w:w="403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履约、延迟、反馈、风险事件、shadow/enforce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失败</w:t>
            </w:r>
          </w:p>
        </w:tc>
        <w:tc>
          <w:tcPr>
            <w:tcW w:type="dxa" w:w="381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模型不可用即失败并允许重试</w:t>
            </w:r>
          </w:p>
        </w:tc>
        <w:tc>
          <w:tcPr>
            <w:tcW w:type="dxa" w:w="403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Endpoint/签名/超时失败进入受控状态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spacing w:after="120" w:line="293" w:lineRule="auto"/>
      </w:pPr>
      <w:r>
        <w:rPr>
          <w:rFonts w:ascii="Hiragino Sans GB" w:hAnsi="Hiragino Sans GB" w:eastAsia="Hiragino Sans GB"/>
          <w:color w:val="151A1E"/>
          <w:sz w:val="20"/>
        </w:rPr>
        <w:t>多模型路由只替换执行资源，不改变 Agent 契约；角色、阶段、证据与验收仍由控制面定义。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08 / VERIFIABLE DELIVERY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客户收到成果，平台保存证据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PinMe/IPFS 的价值不只是上传，而是把交付版本变成可核对对象。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951"/>
        <w:gridCol w:w="4320"/>
      </w:tblGrid>
      <w:tr>
        <w:tc>
          <w:tcPr>
            <w:tcW w:type="dxa" w:w="2088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节点产物</w:t>
            </w:r>
          </w:p>
        </w:tc>
        <w:tc>
          <w:tcPr>
            <w:tcW w:type="dxa" w:w="295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客户可见性</w:t>
            </w:r>
          </w:p>
        </w:tc>
        <w:tc>
          <w:tcPr>
            <w:tcW w:type="dxa" w:w="432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发布策略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Analyze 底稿</w:t>
            </w:r>
          </w:p>
        </w:tc>
        <w:tc>
          <w:tcPr>
            <w:tcW w:type="dxa" w:w="295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内部工作证据</w:t>
            </w:r>
          </w:p>
        </w:tc>
        <w:tc>
          <w:tcPr>
            <w:tcW w:type="dxa" w:w="432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不单独伪装为收费交付物</w:t>
            </w:r>
          </w:p>
        </w:tc>
      </w:tr>
      <w:tr>
        <w:tc>
          <w:tcPr>
            <w:tcW w:type="dxa" w:w="20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Implement 制品</w:t>
            </w:r>
          </w:p>
        </w:tc>
        <w:tc>
          <w:tcPr>
            <w:tcW w:type="dxa" w:w="295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可独立使用的阶段成果</w:t>
            </w:r>
          </w:p>
        </w:tc>
        <w:tc>
          <w:tcPr>
            <w:tcW w:type="dxa" w:w="432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按策略发布并登记 CID/Manifest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Terminal 成果包</w:t>
            </w:r>
          </w:p>
        </w:tc>
        <w:tc>
          <w:tcPr>
            <w:tcW w:type="dxa" w:w="295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默认客户交付</w:t>
            </w:r>
          </w:p>
        </w:tc>
        <w:tc>
          <w:tcPr>
            <w:tcW w:type="dxa" w:w="432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汇总所有完成阶段和当前 attempt 制品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完整成果包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index.html：可直接打开的成果入口；deliverable.md：统一 Markdown 正文。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acceptance-report.md：验收标准对应关系；artifact-index.md：制品与来源索引。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workstreams/*.md：分工作流成果；manifest.json：schema、文件哈希、上下文与版本信息。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证据链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648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解决的问题</w:t>
            </w:r>
          </w:p>
        </w:tc>
      </w:tr>
      <w:tr>
        <w:tc>
          <w:tcPr>
            <w:tcW w:type="dxa" w:w="288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根 CID</w:t>
            </w:r>
          </w:p>
        </w:tc>
        <w:tc>
          <w:tcPr>
            <w:tcW w:type="dxa" w:w="648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内容寻址，固定本次完整成果包</w:t>
            </w:r>
          </w:p>
        </w:tc>
      </w:tr>
      <w:tr>
        <w:tc>
          <w:tcPr>
            <w:tcW w:type="dxa" w:w="288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Manifest SHA-256</w:t>
            </w:r>
          </w:p>
        </w:tc>
        <w:tc>
          <w:tcPr>
            <w:tcW w:type="dxa" w:w="648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固定清单语义与文件集合</w:t>
            </w:r>
          </w:p>
        </w:tc>
      </w:tr>
      <w:tr>
        <w:tc>
          <w:tcPr>
            <w:tcW w:type="dxa" w:w="288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逐文件 SHA-256</w:t>
            </w:r>
          </w:p>
        </w:tc>
        <w:tc>
          <w:tcPr>
            <w:tcW w:type="dxa" w:w="648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核对文件增删与内容变化</w:t>
            </w:r>
          </w:p>
        </w:tc>
      </w:tr>
      <w:tr>
        <w:tc>
          <w:tcPr>
            <w:tcW w:type="dxa" w:w="288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version / parent CID</w:t>
            </w:r>
          </w:p>
        </w:tc>
        <w:tc>
          <w:tcPr>
            <w:tcW w:type="dxa" w:w="648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新版本引用旧版本，形成不可覆盖时间线</w:t>
            </w:r>
          </w:p>
        </w:tc>
      </w:tr>
      <w:tr>
        <w:tc>
          <w:tcPr>
            <w:tcW w:type="dxa" w:w="288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stage / attempt</w:t>
            </w:r>
          </w:p>
        </w:tc>
        <w:tc>
          <w:tcPr>
            <w:tcW w:type="dxa" w:w="648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防止返工、迟到回调或旧制品混入当前验收</w:t>
            </w:r>
          </w:p>
        </w:tc>
      </w:tr>
      <w:tr>
        <w:tc>
          <w:tcPr>
            <w:tcW w:type="dxa" w:w="288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frozen snapshot</w:t>
            </w:r>
          </w:p>
        </w:tc>
        <w:tc>
          <w:tcPr>
            <w:tcW w:type="dxa" w:w="648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验收或争议时冻结确定性审核档案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16B8D4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E8F8FB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Domain ≠ Evidence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同一个 CID 可以绑定多个 PinMe Domain；可读域名服务体验，不可变 CID 与哈希才是验收和纠纷的证据锚。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09 / SECURITY &amp; TRUST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秘密、状态和公共内容各归其位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安全架构首先声明什么不能承诺，再为每个边界建立验证。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951"/>
        <w:gridCol w:w="4896"/>
      </w:tblGrid>
      <w:tr>
        <w:tc>
          <w:tcPr>
            <w:tcW w:type="dxa" w:w="151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边界</w:t>
            </w:r>
          </w:p>
        </w:tc>
        <w:tc>
          <w:tcPr>
            <w:tcW w:type="dxa" w:w="295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敏感资产</w:t>
            </w:r>
          </w:p>
        </w:tc>
        <w:tc>
          <w:tcPr>
            <w:tcW w:type="dxa" w:w="4896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控制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Browser</w:t>
            </w:r>
          </w:p>
        </w:tc>
        <w:tc>
          <w:tcPr>
            <w:tcW w:type="dxa" w:w="295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钱包私钥、PinMe AppKey</w:t>
            </w:r>
          </w:p>
        </w:tc>
        <w:tc>
          <w:tcPr>
            <w:tcW w:type="dxa" w:w="489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私钥只在钱包；AppKey 只提交一次且不持久化</w:t>
            </w:r>
          </w:p>
        </w:tc>
      </w:tr>
      <w:tr>
        <w:tc>
          <w:tcPr>
            <w:tcW w:type="dxa" w:w="151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Worker</w:t>
            </w:r>
          </w:p>
        </w:tc>
        <w:tc>
          <w:tcPr>
            <w:tcW w:type="dxa" w:w="295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项目 API Key、临时明文 AppKey</w:t>
            </w:r>
          </w:p>
        </w:tc>
        <w:tc>
          <w:tcPr>
            <w:tcW w:type="dxa" w:w="489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只在内存解密；认证授权、速率、CORS、输入验证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D1</w:t>
            </w:r>
          </w:p>
        </w:tc>
        <w:tc>
          <w:tcPr>
            <w:tcW w:type="dxa" w:w="295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用户凭据与业务状态</w:t>
            </w:r>
          </w:p>
        </w:tc>
        <w:tc>
          <w:tcPr>
            <w:tcW w:type="dxa" w:w="489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AES-GCM 密文信封；用户隔离；事件与原子不变量</w:t>
            </w:r>
          </w:p>
        </w:tc>
      </w:tr>
      <w:tr>
        <w:tc>
          <w:tcPr>
            <w:tcW w:type="dxa" w:w="151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PinMe/IPFS</w:t>
            </w:r>
          </w:p>
        </w:tc>
        <w:tc>
          <w:tcPr>
            <w:tcW w:type="dxa" w:w="295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成果内容</w:t>
            </w:r>
          </w:p>
        </w:tc>
        <w:tc>
          <w:tcPr>
            <w:tcW w:type="dxa" w:w="489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默认公开；敏感文件必须上传前加密，只记录密钥指纹</w:t>
            </w:r>
          </w:p>
        </w:tc>
      </w:tr>
      <w:tr>
        <w:tc>
          <w:tcPr>
            <w:tcW w:type="dxa" w:w="151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Gateway</w:t>
            </w:r>
          </w:p>
        </w:tc>
        <w:tc>
          <w:tcPr>
            <w:tcW w:type="dxa" w:w="295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外部内容读取</w:t>
            </w:r>
          </w:p>
        </w:tc>
        <w:tc>
          <w:tcPr>
            <w:tcW w:type="dxa" w:w="489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固定 HTTPS Gateway、超时、大小、重定向限制，禁止任意 URL</w:t>
            </w:r>
          </w:p>
        </w:tc>
      </w:tr>
      <w:tr>
        <w:tc>
          <w:tcPr>
            <w:tcW w:type="dxa" w:w="151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Sepolia</w:t>
            </w:r>
          </w:p>
        </w:tc>
        <w:tc>
          <w:tcPr>
            <w:tcW w:type="dxa" w:w="295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托管与治理状态</w:t>
            </w:r>
          </w:p>
        </w:tc>
        <w:tc>
          <w:tcPr>
            <w:tcW w:type="dxa" w:w="489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用户签名；Worker 验证交易、事件、链 ID 与确认数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关键防线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模型输出不合法、缺少客户正文或上传协议不匹配时 fail closed；不生成伪交付。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普通事件接口不能直接修改规范状态；只有受控命令和签名回调可以推进阶段。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幂等键绑定语义；重放、并发验收和迟到裁决不会造成重复结算。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公开 IPFS 不承诺删除或永久可用；可用性和保密性与完整性分别建模。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D94B50"/>
            <w:tcBorders>
              <w:top w:val="single" w:sz="0" w:color="FDEBEC"/>
              <w:left w:val="single" w:sz="0" w:color="FDEBEC"/>
              <w:bottom w:val="single" w:sz="0" w:color="FDEBEC"/>
              <w:right w:val="single" w:sz="0" w:color="FDEBEC"/>
              <w:insideH w:val="single" w:sz="0" w:color="FDEBEC"/>
              <w:insideV w:val="single" w:sz="0" w:color="FDEBE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DEBEC"/>
            <w:tcBorders>
              <w:top w:val="single" w:sz="0" w:color="FDEBEC"/>
              <w:left w:val="single" w:sz="0" w:color="FDEBEC"/>
              <w:bottom w:val="single" w:sz="0" w:color="FDEBEC"/>
              <w:right w:val="single" w:sz="0" w:color="FDEBEC"/>
              <w:insideH w:val="single" w:sz="0" w:color="FDEBEC"/>
              <w:insideV w:val="single" w:sz="0" w:color="FDEBE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当前安全边界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这是测试网演示架构，不等同于主网安全审计结论。合约 v2、安全审计与生产密钥治理完成前，不启用真实价值或自动代签。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10 / SETTLEMENT &amp; GOVERNANCE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任务原资产、收益与贡献治理彼此解耦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结算逻辑必须比模型逻辑更确定，因此被隔离到可验证状态机与链上事件。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232"/>
        <w:gridCol w:w="3311"/>
        <w:gridCol w:w="2160"/>
      </w:tblGrid>
      <w:tr>
        <w:tc>
          <w:tcPr>
            <w:tcW w:type="dxa" w:w="1656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账本</w:t>
            </w:r>
          </w:p>
        </w:tc>
        <w:tc>
          <w:tcPr>
            <w:tcW w:type="dxa" w:w="223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资产 / 单位</w:t>
            </w:r>
          </w:p>
        </w:tc>
        <w:tc>
          <w:tcPr>
            <w:tcW w:type="dxa" w:w="331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16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边界</w:t>
            </w:r>
          </w:p>
        </w:tc>
      </w:tr>
      <w:tr>
        <w:tc>
          <w:tcPr>
            <w:tcW w:type="dxa" w:w="1655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任务托管</w:t>
            </w:r>
          </w:p>
        </w:tc>
        <w:tc>
          <w:tcPr>
            <w:tcW w:type="dxa" w:w="223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CREDIT / mUSDC / sETH</w:t>
            </w:r>
          </w:p>
        </w:tc>
        <w:tc>
          <w:tcPr>
            <w:tcW w:type="dxa" w:w="331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预算锁定、验收释放、冻结与退款</w:t>
            </w:r>
          </w:p>
        </w:tc>
        <w:tc>
          <w:tcPr>
            <w:tcW w:type="dxa" w:w="216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不与 PM 混账</w:t>
            </w:r>
          </w:p>
        </w:tc>
      </w:tr>
      <w:tr>
        <w:tc>
          <w:tcPr>
            <w:tcW w:type="dxa" w:w="1655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开发者收益</w:t>
            </w:r>
          </w:p>
        </w:tc>
        <w:tc>
          <w:tcPr>
            <w:tcW w:type="dxa" w:w="223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按原任务资产分账</w:t>
            </w:r>
          </w:p>
        </w:tc>
        <w:tc>
          <w:tcPr>
            <w:tcW w:type="dxa" w:w="331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记录每次有效履约收益</w:t>
            </w:r>
          </w:p>
        </w:tc>
        <w:tc>
          <w:tcPr>
            <w:tcW w:type="dxa" w:w="216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按资产隔离汇总</w:t>
            </w:r>
          </w:p>
        </w:tc>
      </w:tr>
      <w:tr>
        <w:tc>
          <w:tcPr>
            <w:tcW w:type="dxa" w:w="1655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PM 奖励</w:t>
            </w:r>
          </w:p>
        </w:tc>
        <w:tc>
          <w:tcPr>
            <w:tcW w:type="dxa" w:w="223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pinme-mesh Contribution / PM</w:t>
            </w:r>
          </w:p>
        </w:tc>
        <w:tc>
          <w:tcPr>
            <w:tcW w:type="dxa" w:w="331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已验收、已结算贡献的测试周期奖励</w:t>
            </w:r>
          </w:p>
        </w:tc>
        <w:tc>
          <w:tcPr>
            <w:tcW w:type="dxa" w:w="216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不代表 PinMe 官方代币</w:t>
            </w:r>
          </w:p>
        </w:tc>
      </w:tr>
      <w:tr>
        <w:tc>
          <w:tcPr>
            <w:tcW w:type="dxa" w:w="1655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7"/>
              </w:rPr>
              <w:t>治理 Power</w:t>
            </w:r>
          </w:p>
        </w:tc>
        <w:tc>
          <w:tcPr>
            <w:tcW w:type="dxa" w:w="223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锁仓期限 × 信誉</w:t>
            </w:r>
          </w:p>
        </w:tc>
        <w:tc>
          <w:tcPr>
            <w:tcW w:type="dxa" w:w="331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治理权与历史快照</w:t>
            </w:r>
          </w:p>
        </w:tc>
        <w:tc>
          <w:tcPr>
            <w:tcW w:type="dxa" w:w="216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7"/>
              </w:rPr>
              <w:t>不承诺收益或价格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Sepolia 当前组件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AgentMeshEscrow：mUSDC / 原生 sETH 托管，payoutHash 固定分账承诺。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PM Token：0xfdf06a468dcc7464c3871057acd863d6bc514bae。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Reward Distributor：0x852c36af469f0eea10c6aa26cf9489423c7d037e。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Staking / Power：0x9875e2eabe942dd9f8dd0e7bcb6f36071040a5c2。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D89015"/>
            <w:tcBorders>
              <w:top w:val="single" w:sz="0" w:color="FFF3DC"/>
              <w:left w:val="single" w:sz="0" w:color="FFF3DC"/>
              <w:bottom w:val="single" w:sz="0" w:color="FFF3DC"/>
              <w:right w:val="single" w:sz="0" w:color="FFF3DC"/>
              <w:insideH w:val="single" w:sz="0" w:color="FFF3DC"/>
              <w:insideV w:val="single" w:sz="0" w:color="FFF3D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FF3DC"/>
            <w:tcBorders>
              <w:top w:val="single" w:sz="0" w:color="FFF3DC"/>
              <w:left w:val="single" w:sz="0" w:color="FFF3DC"/>
              <w:bottom w:val="single" w:sz="0" w:color="FFF3DC"/>
              <w:right w:val="single" w:sz="0" w:color="FFF3DC"/>
              <w:insideH w:val="single" w:sz="0" w:color="FFF3DC"/>
              <w:insideV w:val="single" w:sz="0" w:color="FFF3D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治理约束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争议投票只产生执行授权，不能替代独立链上交易；涉案任务方、发起人和 Agent 所有者必须回避。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11 / DIGITAL TWIN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让 Agent 像员工一样进入空间状态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3D 指挥舱是状态的数字孪生与产品差异化入口，不是执行引擎本身。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pinme-mesh 3D Agent 数字孪生指挥舱的当前产品展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Hiragino Sans GB" w:hAnsi="Hiragino Sans GB" w:eastAsia="Hiragino Sans GB"/>
          <w:i/>
          <w:color w:val="66727A"/>
          <w:sz w:val="17"/>
        </w:rPr>
        <w:t>图 2：工作中的 Agent 回到工位；待命、试炼、暂停与异常映射到不同空间和动作。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744"/>
      </w:tblGrid>
      <w:tr>
        <w:tc>
          <w:tcPr>
            <w:tcW w:type="dxa" w:w="180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Agent 状态</w:t>
            </w:r>
          </w:p>
        </w:tc>
        <w:tc>
          <w:tcPr>
            <w:tcW w:type="dxa" w:w="3816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空间行为</w:t>
            </w:r>
          </w:p>
        </w:tc>
        <w:tc>
          <w:tcPr>
            <w:tcW w:type="dxa" w:w="3744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业务来源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executing</w:t>
            </w:r>
          </w:p>
        </w:tc>
        <w:tc>
          <w:tcPr>
            <w:tcW w:type="dxa" w:w="381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回到自己的工位操作与显示任务进度</w:t>
            </w:r>
          </w:p>
        </w:tc>
        <w:tc>
          <w:tcPr>
            <w:tcW w:type="dxa" w:w="374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真实阶段执行状态</w:t>
            </w:r>
          </w:p>
        </w:tc>
      </w:tr>
      <w:tr>
        <w:tc>
          <w:tcPr>
            <w:tcW w:type="dxa" w:w="180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assigned</w:t>
            </w:r>
          </w:p>
        </w:tc>
        <w:tc>
          <w:tcPr>
            <w:tcW w:type="dxa" w:w="381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在任务台等待接单或邀请</w:t>
            </w:r>
          </w:p>
        </w:tc>
        <w:tc>
          <w:tcPr>
            <w:tcW w:type="dxa" w:w="374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offer / assignment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ready</w:t>
            </w:r>
          </w:p>
        </w:tc>
        <w:tc>
          <w:tcPr>
            <w:tcW w:type="dxa" w:w="381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休息区自由溜达，不原地循环跳</w:t>
            </w:r>
          </w:p>
        </w:tc>
        <w:tc>
          <w:tcPr>
            <w:tcW w:type="dxa" w:w="374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Endpoint 健康且无任务</w:t>
            </w:r>
          </w:p>
        </w:tc>
      </w:tr>
      <w:tr>
        <w:tc>
          <w:tcPr>
            <w:tcW w:type="dxa" w:w="180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trial</w:t>
            </w:r>
          </w:p>
        </w:tc>
        <w:tc>
          <w:tcPr>
            <w:tcW w:type="dxa" w:w="3816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训练区挑战动作</w:t>
            </w:r>
          </w:p>
        </w:tc>
        <w:tc>
          <w:tcPr>
            <w:tcW w:type="dxa" w:w="374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Agent Trial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paused / attention</w:t>
            </w:r>
          </w:p>
        </w:tc>
        <w:tc>
          <w:tcPr>
            <w:tcW w:type="dxa" w:w="3816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维修区检修或警示</w:t>
            </w:r>
          </w:p>
        </w:tc>
        <w:tc>
          <w:tcPr>
            <w:tcW w:type="dxa" w:w="374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运行控制与质量风险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spacing w:after="120" w:line="293" w:lineRule="auto"/>
      </w:pPr>
      <w:r>
        <w:rPr>
          <w:rFonts w:ascii="Hiragino Sans GB" w:hAnsi="Hiragino Sans GB" w:eastAsia="Hiragino Sans GB"/>
          <w:color w:val="151A1E"/>
          <w:sz w:val="20"/>
        </w:rPr>
        <w:t>Nouns 启发的像素识别元素与低多边形潮玩体态；全场景碰撞，镜头可旋转，缩放限制 ±20%。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12 / PRODUCT SURFACES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从任务驾驶舱到能力市场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同一底层状态，在任务方与开发者两侧呈现不同的操作面。</w:t>
      </w:r>
    </w:p>
    <w:tbl>
      <w:tblPr>
        <w:tblW w:type="dxa" w:w="9158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shd w:fill="F5F7F3"/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1538954"/>
                  <wp:docPr id="4" name="Picture 4" descr="pinme-mesh 当前任务方工作台截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38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51A1E"/>
                <w:sz w:val="19"/>
              </w:rPr>
              <w:t>任务方工作台</w:t>
            </w:r>
          </w:p>
        </w:tc>
        <w:tc>
          <w:tcPr>
            <w:tcW w:type="dxa" w:w="4579"/>
            <w:shd w:fill="F5F7F3"/>
            <w:tcBorders>
              <w:top w:val="single" w:sz="6" w:color="D9E2DE"/>
              <w:left w:val="single" w:sz="6" w:color="D9E2DE"/>
              <w:bottom w:val="single" w:sz="6" w:color="D9E2DE"/>
              <w:right w:val="single" w:sz="6" w:color="D9E2DE"/>
              <w:insideH w:val="single" w:sz="6" w:color="D9E2DE"/>
              <w:insideV w:val="single" w:sz="6" w:color="D9E2DE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1538954"/>
                  <wp:docPr id="5" name="Picture 5" descr="pinme-mesh 当前 Agent 市场截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nt-marke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38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151A1E"/>
                <w:sz w:val="19"/>
              </w:rPr>
              <w:t>Agent 市场</w:t>
            </w:r>
          </w:p>
        </w:tc>
      </w:tr>
    </w:tbl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产品信息架构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4"/>
        <w:gridCol w:w="3124"/>
        <w:gridCol w:w="3110"/>
      </w:tblGrid>
      <w:tr>
        <w:tc>
          <w:tcPr>
            <w:tcW w:type="dxa" w:w="3125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任务方</w:t>
            </w:r>
          </w:p>
        </w:tc>
        <w:tc>
          <w:tcPr>
            <w:tcW w:type="dxa" w:w="3125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311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共同能力</w:t>
            </w:r>
          </w:p>
        </w:tc>
      </w:tr>
      <w:tr>
        <w:tc>
          <w:tcPr>
            <w:tcW w:type="dxa" w:w="31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工作台、发布任务、我的任务、验收、测试充值</w:t>
            </w:r>
          </w:p>
        </w:tc>
        <w:tc>
          <w:tcPr>
            <w:tcW w:type="dxa" w:w="31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概览、我的 Agent、注册、接单、收益</w:t>
            </w:r>
          </w:p>
        </w:tc>
        <w:tc>
          <w:tcPr>
            <w:tcW w:type="dxa" w:w="311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ENS 身份、设置、通知</w:t>
            </w:r>
          </w:p>
        </w:tc>
      </w:tr>
      <w:tr>
        <w:tc>
          <w:tcPr>
            <w:tcW w:type="dxa" w:w="312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DAG、执行、交付、争议、仲裁</w:t>
            </w:r>
          </w:p>
        </w:tc>
        <w:tc>
          <w:tcPr>
            <w:tcW w:type="dxa" w:w="312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Trial、Endpoint 健康、履约和质量</w:t>
            </w:r>
          </w:p>
        </w:tc>
        <w:tc>
          <w:tcPr>
            <w:tcW w:type="dxa" w:w="311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PM 贡献与治理</w:t>
            </w:r>
          </w:p>
        </w:tc>
      </w:tr>
      <w:tr>
        <w:tc>
          <w:tcPr>
            <w:tcW w:type="dxa" w:w="31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预算、托管、释放或冻结</w:t>
            </w:r>
          </w:p>
        </w:tc>
        <w:tc>
          <w:tcPr>
            <w:tcW w:type="dxa" w:w="312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接单、签名回调、收益账本</w:t>
            </w:r>
          </w:p>
        </w:tc>
        <w:tc>
          <w:tcPr>
            <w:tcW w:type="dxa" w:w="311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公开 Agent 能力市场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C7FF4A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2FAD9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设计原则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炫技模块必须服务状态理解：3D 负责空间直觉，列表与审计负责精确操作；WebGL 失败时仍保留可用的降级路径。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13 / DEMONSTRATED PROOF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演示版已经跑通什么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下面只列当前仓库、线上部署和真实冒烟任务能够支撑的事实。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727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当前证据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线上 Web</w:t>
            </w:r>
          </w:p>
        </w:tc>
        <w:tc>
          <w:tcPr>
            <w:tcW w:type="dxa" w:w="727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https://mesh-pinme.pinme.dev/；独立 PinMe Domain</w:t>
            </w:r>
          </w:p>
        </w:tc>
      </w:tr>
      <w:tr>
        <w:tc>
          <w:tcPr>
            <w:tcW w:type="dxa" w:w="20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前端内容</w:t>
            </w:r>
          </w:p>
        </w:tc>
        <w:tc>
          <w:tcPr>
            <w:tcW w:type="dxa" w:w="727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CID bafybeihuewiymgcgotoncbiya6hove5qtqgvaakb4dapxmsuyinykuiy5u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Worker</w:t>
            </w:r>
          </w:p>
        </w:tc>
        <w:tc>
          <w:tcPr>
            <w:tcW w:type="dxa" w:w="727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https://agentmesh-platform-74a3.api.pinme.pro</w:t>
            </w:r>
          </w:p>
        </w:tc>
      </w:tr>
      <w:tr>
        <w:tc>
          <w:tcPr>
            <w:tcW w:type="dxa" w:w="20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真实任务</w:t>
            </w:r>
          </w:p>
        </w:tc>
        <w:tc>
          <w:tcPr>
            <w:tcW w:type="dxa" w:w="727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TASK-2026-CA9B17：6 步、3 个角色 Agent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最终交付</w:t>
            </w:r>
          </w:p>
        </w:tc>
        <w:tc>
          <w:tcPr>
            <w:tcW w:type="dxa" w:w="727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5 条工作流、9 个文件；https://688355bf.pinme.dev/</w:t>
            </w:r>
          </w:p>
        </w:tc>
      </w:tr>
      <w:tr>
        <w:tc>
          <w:tcPr>
            <w:tcW w:type="dxa" w:w="20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交付核验</w:t>
            </w:r>
          </w:p>
        </w:tc>
        <w:tc>
          <w:tcPr>
            <w:tcW w:type="dxa" w:w="7272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当前 4/4；根 CID bafybeiasx23e4dqxfim6v5ahmgehswwwfdcw3az34dwiui26erwoyogymq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工程验证</w:t>
            </w:r>
          </w:p>
        </w:tc>
        <w:tc>
          <w:tcPr>
            <w:tcW w:type="dxa" w:w="7272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前端生产构建通过；后端回归 189/189；线上 CORS GET 200 / OPTIONS 204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6 步真实执行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目标拆解 — Strategy Analyst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证据研究 — Evidence Scout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核心执行与结构化交付 — Delivery Writer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发布准备与运行验证 — Evidence Scout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方案设计与关键决策 — Strategy Analyst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独立复核与最终交付 — Delivery Writer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16B8D4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E8F8FB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演示重点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现场先展示“AI 编排多少步就执行多少步”，再切换 3D 状态、自动 PinMe 成果包和 Markdown 验收，最后说明结算与证据冻结。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14 / DEFENSIBILITY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护城河：协作数据与信任结构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模型能力会快速扩散；任务过程、证据语义与可验证履约记录更难复制。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88"/>
        <w:gridCol w:w="3528"/>
      </w:tblGrid>
      <w:tr>
        <w:tc>
          <w:tcPr>
            <w:tcW w:type="dxa" w:w="1944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防御层</w:t>
            </w:r>
          </w:p>
        </w:tc>
        <w:tc>
          <w:tcPr>
            <w:tcW w:type="dxa" w:w="3888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复利机制</w:t>
            </w:r>
          </w:p>
        </w:tc>
        <w:tc>
          <w:tcPr>
            <w:tcW w:type="dxa" w:w="3528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为什么难复制</w:t>
            </w:r>
          </w:p>
        </w:tc>
      </w:tr>
      <w:tr>
        <w:tc>
          <w:tcPr>
            <w:tcW w:type="dxa" w:w="194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Workflow graph</w:t>
            </w:r>
          </w:p>
        </w:tc>
        <w:tc>
          <w:tcPr>
            <w:tcW w:type="dxa" w:w="38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目标、依赖、attempt、Gate 和变更形成执行图谱</w:t>
            </w:r>
          </w:p>
        </w:tc>
        <w:tc>
          <w:tcPr>
            <w:tcW w:type="dxa" w:w="352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需要真实长任务和状态机工程</w:t>
            </w:r>
          </w:p>
        </w:tc>
      </w:tr>
      <w:tr>
        <w:tc>
          <w:tcPr>
            <w:tcW w:type="dxa" w:w="194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Evidence graph</w:t>
            </w:r>
          </w:p>
        </w:tc>
        <w:tc>
          <w:tcPr>
            <w:tcW w:type="dxa" w:w="38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CID、Manifest、版本、验收与争议形成证据图谱</w:t>
            </w:r>
          </w:p>
        </w:tc>
        <w:tc>
          <w:tcPr>
            <w:tcW w:type="dxa" w:w="352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必须同时处理产品体验与完整性语义</w:t>
            </w:r>
          </w:p>
        </w:tc>
      </w:tr>
      <w:tr>
        <w:tc>
          <w:tcPr>
            <w:tcW w:type="dxa" w:w="194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Agent quality</w:t>
            </w:r>
          </w:p>
        </w:tc>
        <w:tc>
          <w:tcPr>
            <w:tcW w:type="dxa" w:w="38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Trial、健康、履约、反馈和风险沉淀信誉</w:t>
            </w:r>
          </w:p>
        </w:tc>
        <w:tc>
          <w:tcPr>
            <w:tcW w:type="dxa" w:w="352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需要双边市场和可审计的数据来源</w:t>
            </w:r>
          </w:p>
        </w:tc>
      </w:tr>
      <w:tr>
        <w:tc>
          <w:tcPr>
            <w:tcW w:type="dxa" w:w="194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Settlement state</w:t>
            </w:r>
          </w:p>
        </w:tc>
        <w:tc>
          <w:tcPr>
            <w:tcW w:type="dxa" w:w="38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任务资产、收益、贡献与治理分账隔离</w:t>
            </w:r>
          </w:p>
        </w:tc>
        <w:tc>
          <w:tcPr>
            <w:tcW w:type="dxa" w:w="352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金融状态容错率低，规则必须长期稳定</w:t>
            </w:r>
          </w:p>
        </w:tc>
      </w:tr>
      <w:tr>
        <w:tc>
          <w:tcPr>
            <w:tcW w:type="dxa" w:w="194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Spatial observability</w:t>
            </w:r>
          </w:p>
        </w:tc>
        <w:tc>
          <w:tcPr>
            <w:tcW w:type="dxa" w:w="38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3D 让复杂运行状态形成品牌化空间表达</w:t>
            </w:r>
          </w:p>
        </w:tc>
        <w:tc>
          <w:tcPr>
            <w:tcW w:type="dxa" w:w="352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需要实时状态、交互设计和工程性能共同支撑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深层模块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对上提供简单接口：创建任务、确认工作流、运行、验收、争议。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对下吸收复杂性：幂等、并发、回调、版本、密钥、Gateway、链确认和迁移兼容。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让模型、Agent Endpoint、前端域名和链网络都可以替换，而不破坏交付语义。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C7FF4A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2FAD9"/>
            <w:tcBorders>
              <w:top w:val="single" w:sz="0" w:color="F2FAD9"/>
              <w:left w:val="single" w:sz="0" w:color="F2FAD9"/>
              <w:bottom w:val="single" w:sz="0" w:color="F2FAD9"/>
              <w:right w:val="single" w:sz="0" w:color="F2FAD9"/>
              <w:insideH w:val="single" w:sz="0" w:color="F2FAD9"/>
              <w:insideV w:val="single" w:sz="0" w:color="F2FAD9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长期网络效应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任务越复杂，平台越能积累可复用工作流、角色分工、质量先验和证据模板；这些数据又反过来降低下一次任务的编排与验收成本。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15 / ROADMAP &amp; USE OF FUNDS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从测试网闭环走向可扩展协作网络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路线图先提升可靠性和生态，再进入真实价值环境；以下是方向，不构成预算或收益承诺。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184"/>
        <w:gridCol w:w="2808"/>
      </w:tblGrid>
      <w:tr>
        <w:tc>
          <w:tcPr>
            <w:tcW w:type="dxa" w:w="1368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184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产品里程碑</w:t>
            </w:r>
          </w:p>
        </w:tc>
        <w:tc>
          <w:tcPr>
            <w:tcW w:type="dxa" w:w="2808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关键门槛</w:t>
            </w:r>
          </w:p>
        </w:tc>
      </w:tr>
      <w:tr>
        <w:tc>
          <w:tcPr>
            <w:tcW w:type="dxa" w:w="136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Now</w:t>
            </w:r>
          </w:p>
        </w:tc>
        <w:tc>
          <w:tcPr>
            <w:tcW w:type="dxa" w:w="518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动态 DAG、三角色 Agent、自动 PinMe 成果、3D、Sepolia</w:t>
            </w:r>
          </w:p>
        </w:tc>
        <w:tc>
          <w:tcPr>
            <w:tcW w:type="dxa" w:w="280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持续回归与演示稳定性</w:t>
            </w:r>
          </w:p>
        </w:tc>
      </w:tr>
      <w:tr>
        <w:tc>
          <w:tcPr>
            <w:tcW w:type="dxa" w:w="136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Next</w:t>
            </w:r>
          </w:p>
        </w:tc>
        <w:tc>
          <w:tcPr>
            <w:tcW w:type="dxa" w:w="518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多模型路由、工具 Agent、第三方连接器、空间状态回放</w:t>
            </w:r>
          </w:p>
        </w:tc>
        <w:tc>
          <w:tcPr>
            <w:tcW w:type="dxa" w:w="280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统一 Agent 契约与质量观测</w:t>
            </w:r>
          </w:p>
        </w:tc>
      </w:tr>
      <w:tr>
        <w:tc>
          <w:tcPr>
            <w:tcW w:type="dxa" w:w="136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Enterprise</w:t>
            </w:r>
          </w:p>
        </w:tc>
        <w:tc>
          <w:tcPr>
            <w:tcW w:type="dxa" w:w="5184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租户策略、加密交付、审计导出、SLA、私有连接</w:t>
            </w:r>
          </w:p>
        </w:tc>
        <w:tc>
          <w:tcPr>
            <w:tcW w:type="dxa" w:w="280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密钥治理、合规与可用性</w:t>
            </w:r>
          </w:p>
        </w:tc>
      </w:tr>
      <w:tr>
        <w:tc>
          <w:tcPr>
            <w:tcW w:type="dxa" w:w="136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Protocol</w:t>
            </w:r>
          </w:p>
        </w:tc>
        <w:tc>
          <w:tcPr>
            <w:tcW w:type="dxa" w:w="5184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合约 v2、正式安全审计、生产结算设计</w:t>
            </w:r>
          </w:p>
        </w:tc>
        <w:tc>
          <w:tcPr>
            <w:tcW w:type="dxa" w:w="280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主网上线单独决策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融资用途方向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0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投入重点</w:t>
            </w:r>
          </w:p>
        </w:tc>
      </w:tr>
      <w:tr>
        <w:tc>
          <w:tcPr>
            <w:tcW w:type="dxa" w:w="216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产品与 Agent 生态</w:t>
            </w:r>
          </w:p>
        </w:tc>
        <w:tc>
          <w:tcPr>
            <w:tcW w:type="dxa" w:w="720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多模型/工具路由、第三方 Agent SDK、行业工作流模板</w:t>
            </w:r>
          </w:p>
        </w:tc>
      </w:tr>
      <w:tr>
        <w:tc>
          <w:tcPr>
            <w:tcW w:type="dxa" w:w="216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可靠性与安全</w:t>
            </w:r>
          </w:p>
        </w:tc>
        <w:tc>
          <w:tcPr>
            <w:tcW w:type="dxa" w:w="720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状态机压力测试、密钥治理、合约与 Worker 审计、观测性</w:t>
            </w:r>
          </w:p>
        </w:tc>
      </w:tr>
      <w:tr>
        <w:tc>
          <w:tcPr>
            <w:tcW w:type="dxa" w:w="216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企业交付</w:t>
            </w:r>
          </w:p>
        </w:tc>
        <w:tc>
          <w:tcPr>
            <w:tcW w:type="dxa" w:w="720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租户隔离、加密证据、审计档案、权限和 SLA</w:t>
            </w:r>
          </w:p>
        </w:tc>
      </w:tr>
      <w:tr>
        <w:tc>
          <w:tcPr>
            <w:tcW w:type="dxa" w:w="216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开发者增长</w:t>
            </w:r>
          </w:p>
        </w:tc>
        <w:tc>
          <w:tcPr>
            <w:tcW w:type="dxa" w:w="720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Trial 工具、质量数据、收益体验与 Agent 市场分发</w:t>
            </w:r>
          </w:p>
        </w:tc>
      </w:tr>
      <w:tr>
        <w:tc>
          <w:tcPr>
            <w:tcW w:type="dxa" w:w="216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品牌与路演</w:t>
            </w:r>
          </w:p>
        </w:tc>
        <w:tc>
          <w:tcPr>
            <w:tcW w:type="dxa" w:w="720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3D 数字孪生、可分享任务回放、演示资产和生态合作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D89015"/>
            <w:tcBorders>
              <w:top w:val="single" w:sz="0" w:color="FFF3DC"/>
              <w:left w:val="single" w:sz="0" w:color="FFF3DC"/>
              <w:bottom w:val="single" w:sz="0" w:color="FFF3DC"/>
              <w:right w:val="single" w:sz="0" w:color="FFF3DC"/>
              <w:insideH w:val="single" w:sz="0" w:color="FFF3DC"/>
              <w:insideV w:val="single" w:sz="0" w:color="FFF3D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FF3DC"/>
            <w:tcBorders>
              <w:top w:val="single" w:sz="0" w:color="FFF3DC"/>
              <w:left w:val="single" w:sz="0" w:color="FFF3DC"/>
              <w:bottom w:val="single" w:sz="0" w:color="FFF3DC"/>
              <w:right w:val="single" w:sz="0" w:color="FFF3DC"/>
              <w:insideH w:val="single" w:sz="0" w:color="FFF3DC"/>
              <w:insideV w:val="single" w:sz="0" w:color="FFF3D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资本纪律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不以主网、代币价格或收益承诺换取短期叙事；资金优先投入可验证交付、Agent 质量和安全状态机。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16 / RISKS &amp; DILIGENCE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明确边界，才有资格讨论规模化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本页列出当前最重要的技术与产品风险，以及架构已经采取或下一步应采取的措施。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11"/>
        <w:gridCol w:w="3960"/>
      </w:tblGrid>
      <w:tr>
        <w:tc>
          <w:tcPr>
            <w:tcW w:type="dxa" w:w="2088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12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当前边界</w:t>
            </w:r>
          </w:p>
        </w:tc>
        <w:tc>
          <w:tcPr>
            <w:tcW w:type="dxa" w:w="3960"/>
            <w:shd w:fill="0D1117"/>
            <w:tcBorders>
              <w:top w:val="single" w:sz="5" w:color="0D1117"/>
              <w:left w:val="single" w:sz="5" w:color="0D1117"/>
              <w:bottom w:val="single" w:sz="5" w:color="0D1117"/>
              <w:right w:val="single" w:sz="5" w:color="0D1117"/>
              <w:insideH w:val="single" w:sz="5" w:color="0D1117"/>
              <w:insideV w:val="single" w:sz="5" w:color="0D1117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LLM 不稳定</w:t>
            </w:r>
          </w:p>
        </w:tc>
        <w:tc>
          <w:tcPr>
            <w:tcW w:type="dxa" w:w="331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同一模型可能失败或格式偏移</w:t>
            </w:r>
          </w:p>
        </w:tc>
        <w:tc>
          <w:tcPr>
            <w:tcW w:type="dxa" w:w="396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Schema 校验、节点失败/重试、独立复核、多模型路由</w:t>
            </w:r>
          </w:p>
        </w:tc>
      </w:tr>
      <w:tr>
        <w:tc>
          <w:tcPr>
            <w:tcW w:type="dxa" w:w="20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IPFS 公开与可用性</w:t>
            </w:r>
          </w:p>
        </w:tc>
        <w:tc>
          <w:tcPr>
            <w:tcW w:type="dxa" w:w="331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公开内容不可删除，不保证永久在线</w:t>
            </w:r>
          </w:p>
        </w:tc>
        <w:tc>
          <w:tcPr>
            <w:tcW w:type="dxa" w:w="396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客户端加密、CAR 留存、Gateway 状态分离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上传协议适配</w:t>
            </w:r>
          </w:p>
        </w:tc>
        <w:tc>
          <w:tcPr>
            <w:tcW w:type="dxa" w:w="331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Worker 复用已验证 PinMe CLI 协议</w:t>
            </w:r>
          </w:p>
        </w:tc>
        <w:tc>
          <w:tcPr>
            <w:tcW w:type="dxa" w:w="396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版本化适配器、回归测试、正式 API 后迁移</w:t>
            </w:r>
          </w:p>
        </w:tc>
      </w:tr>
      <w:tr>
        <w:tc>
          <w:tcPr>
            <w:tcW w:type="dxa" w:w="20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测试网到主网</w:t>
            </w:r>
          </w:p>
        </w:tc>
        <w:tc>
          <w:tcPr>
            <w:tcW w:type="dxa" w:w="331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当前只在 Sepolia 演示</w:t>
            </w:r>
          </w:p>
        </w:tc>
        <w:tc>
          <w:tcPr>
            <w:tcW w:type="dxa" w:w="396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合约 v2、安全审计、资金边界与合规单独审批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第三方 Agent</w:t>
            </w:r>
          </w:p>
        </w:tc>
        <w:tc>
          <w:tcPr>
            <w:tcW w:type="dxa" w:w="3311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Endpoint 质量与凭据风险</w:t>
            </w:r>
          </w:p>
        </w:tc>
        <w:tc>
          <w:tcPr>
            <w:tcW w:type="dxa" w:w="3960"/>
            <w:shd w:fill="FFFFFF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Trial、健康检查、签名回调、shadow/enforce 门禁</w:t>
            </w:r>
          </w:p>
        </w:tc>
      </w:tr>
      <w:tr>
        <w:tc>
          <w:tcPr>
            <w:tcW w:type="dxa" w:w="2088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51A1E"/>
                <w:sz w:val="18"/>
              </w:rPr>
              <w:t>3D 性能</w:t>
            </w:r>
          </w:p>
        </w:tc>
        <w:tc>
          <w:tcPr>
            <w:tcW w:type="dxa" w:w="3311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WebGL/设备差异</w:t>
            </w:r>
          </w:p>
        </w:tc>
        <w:tc>
          <w:tcPr>
            <w:tcW w:type="dxa" w:w="3960"/>
            <w:shd w:fill="F5F7F3"/>
            <w:tcBorders>
              <w:top w:val="single" w:sz="5" w:color="D9E2DE"/>
              <w:left w:val="single" w:sz="5" w:color="D9E2DE"/>
              <w:bottom w:val="single" w:sz="5" w:color="D9E2DE"/>
              <w:right w:val="single" w:sz="5" w:color="D9E2DE"/>
              <w:insideH w:val="single" w:sz="5" w:color="D9E2DE"/>
              <w:insideV w:val="single" w:sz="5" w:color="D9E2DE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color w:val="151A1E"/>
                <w:sz w:val="18"/>
              </w:rPr>
              <w:t>最多 8 Agent、降级界面、列表与审计保底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尽调清单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复核任务状态机的并发测试、D1 迁移回放、CORS 和 Endpoint 签名边界。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抽查成果包 Manifest、逐文件哈希、父版本、attempt 归属和冻结档案。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验证 Worker 不返回明文 PinMe AppKey，前端包与日志不含私钥或助记词。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在任何真实价值上线前完成独立合约审计、生产密钥方案和事故响应演练。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D94B50"/>
            <w:tcBorders>
              <w:top w:val="single" w:sz="0" w:color="FDEBEC"/>
              <w:left w:val="single" w:sz="0" w:color="FDEBEC"/>
              <w:bottom w:val="single" w:sz="0" w:color="FDEBEC"/>
              <w:right w:val="single" w:sz="0" w:color="FDEBEC"/>
              <w:insideH w:val="single" w:sz="0" w:color="FDEBEC"/>
              <w:insideV w:val="single" w:sz="0" w:color="FDEBE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FDEBEC"/>
            <w:tcBorders>
              <w:top w:val="single" w:sz="0" w:color="FDEBEC"/>
              <w:left w:val="single" w:sz="0" w:color="FDEBEC"/>
              <w:bottom w:val="single" w:sz="0" w:color="FDEBEC"/>
              <w:right w:val="single" w:sz="0" w:color="FDEBEC"/>
              <w:insideH w:val="single" w:sz="0" w:color="FDEBEC"/>
              <w:insideV w:val="single" w:sz="0" w:color="FDEBEC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非承诺声明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PM 是 pinme-mesh 测试网贡献与治理品牌，不代表 PinMe 官方发行或背书；本文不构成代币、价格、收益或主网上线承诺。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p>
      <w:pPr>
        <w:pageBreakBefore/>
        <w:spacing w:after="60"/>
      </w:pPr>
      <w:r>
        <w:rPr>
          <w:rFonts w:ascii="Hiragino Sans GB" w:hAnsi="Hiragino Sans GB" w:eastAsia="Hiragino Sans GB"/>
          <w:b/>
          <w:color w:val="16B8D4"/>
          <w:sz w:val="16"/>
        </w:rPr>
        <w:t>APPENDIX / SOURCES</w:t>
      </w:r>
    </w:p>
    <w:p>
      <w:pPr>
        <w:keepNext/>
        <w:spacing w:before="0" w:after="100"/>
      </w:pPr>
      <w:r>
        <w:rPr>
          <w:rFonts w:ascii="Hiragino Sans GB" w:hAnsi="Hiragino Sans GB" w:eastAsia="Hiragino Sans GB"/>
          <w:b/>
          <w:color w:val="151A1E"/>
          <w:sz w:val="46"/>
        </w:rPr>
        <w:t>实现依据与演示入口</w:t>
      </w:r>
    </w:p>
    <w:p>
      <w:pPr>
        <w:spacing w:after="200"/>
      </w:pPr>
      <w:r>
        <w:rPr>
          <w:rFonts w:ascii="Hiragino Sans GB" w:hAnsi="Hiragino Sans GB" w:eastAsia="Hiragino Sans GB"/>
          <w:color w:val="66727A"/>
          <w:sz w:val="21"/>
        </w:rPr>
        <w:t>本文基于 2026-08-30 的仓库快照、线上 UI 与已完成冒烟任务。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产品与架构文档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docs/prd.md — 产品目标、用户旅程、功能、安全、部署基线与边界。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docs/meshpin-ipfs-evidence.md — PinMe/IPFS 发布、Manifest、版本、冻结档案与 Gateway。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docs/worker_service_api.md — PinMe Worker 内部 API 认证与 chat/completions 约定。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docs/backend-api.md — 平台 API 行为与状态边界。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关键实现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backend/src/worker.ts — API、认证授权、状态机、派发、验收、争议、LLM 和自动交付。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backend/src/workflowCompiler.ts — 动态 DAG 编译与验证。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backend/src/clientDelivery.ts / pinmeUpload.ts / pinmeCredentials.ts — 多文件成果包、上传与凭据密文。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backend/src/ipfsEvidence.ts / agentQuality.ts / ydChain.ts — 证据、质量与测试网治理。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db/002_agentmesh_core.sql、016、019、020、021、022、026、029 — 任务、DAG、质量、运行控制、证据与凭据。</w:t>
      </w:r>
    </w:p>
    <w:p>
      <w:pPr>
        <w:pStyle w:val="ListBullet"/>
        <w:spacing w:after="60" w:line="278" w:lineRule="auto"/>
        <w:ind w:left="317" w:hanging="187"/>
      </w:pPr>
      <w:r>
        <w:rPr>
          <w:rFonts w:ascii="Hiragino Sans GB" w:hAnsi="Hiragino Sans GB" w:eastAsia="Hiragino Sans GB"/>
          <w:color w:val="151A1E"/>
          <w:sz w:val="19"/>
        </w:rPr>
        <w:t>contracts/AgentMeshEscrow.sol、TestYDToken.sol、YDRewardDistributor.sol、YDStaking.sol — 测试网结算与 PM/Power。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151A1E"/>
          <w:sz w:val="30"/>
        </w:rPr>
        <w:t>在线入口</w:t>
      </w:r>
    </w:p>
    <w:p>
      <w:pPr>
        <w:pStyle w:val="ListBullet"/>
        <w:spacing w:after="80"/>
        <w:ind w:left="317"/>
      </w:pPr>
      <w:r>
        <w:rPr>
          <w:rFonts w:ascii="Hiragino Sans GB" w:hAnsi="Hiragino Sans GB" w:eastAsia="Hiragino Sans GB"/>
          <w:b/>
          <w:color w:val="151A1E"/>
          <w:sz w:val="19"/>
        </w:rPr>
        <w:t>pinme-mesh 演示：</w:t>
      </w:r>
      <w:hyperlink r:id="rId12">
        <w:r>
          <w:rPr>
            <w:color w:val="16B8D4"/>
            <w:u w:val="single"/>
            <w:rFonts w:ascii="Hiragino Sans GB" w:hAnsi="Hiragino Sans GB" w:eastAsia="Hiragino Sans GB"/>
          </w:rPr>
          <w:t>https://mesh-pinme.pinme.dev/</w:t>
        </w:r>
      </w:hyperlink>
    </w:p>
    <w:p>
      <w:pPr>
        <w:pStyle w:val="ListBullet"/>
        <w:spacing w:after="80"/>
        <w:ind w:left="317"/>
      </w:pPr>
      <w:r>
        <w:rPr>
          <w:rFonts w:ascii="Hiragino Sans GB" w:hAnsi="Hiragino Sans GB" w:eastAsia="Hiragino Sans GB"/>
          <w:b/>
          <w:color w:val="151A1E"/>
          <w:sz w:val="19"/>
        </w:rPr>
        <w:t>真实任务最终成果包：</w:t>
      </w:r>
      <w:hyperlink r:id="rId16">
        <w:r>
          <w:rPr>
            <w:color w:val="16B8D4"/>
            <w:u w:val="single"/>
            <w:rFonts w:ascii="Hiragino Sans GB" w:hAnsi="Hiragino Sans GB" w:eastAsia="Hiragino Sans GB"/>
          </w:rPr>
          <w:t>https://688355bf.pinme.dev/</w:t>
        </w:r>
      </w:hyperlink>
    </w:p>
    <w:p>
      <w:pPr>
        <w:pStyle w:val="ListBullet"/>
        <w:spacing w:after="80"/>
        <w:ind w:left="317"/>
      </w:pPr>
      <w:r>
        <w:rPr>
          <w:rFonts w:ascii="Hiragino Sans GB" w:hAnsi="Hiragino Sans GB" w:eastAsia="Hiragino Sans GB"/>
          <w:b/>
          <w:color w:val="151A1E"/>
          <w:sz w:val="19"/>
        </w:rPr>
        <w:t>Worker Endpoint：</w:t>
      </w:r>
      <w:hyperlink r:id="rId17">
        <w:r>
          <w:rPr>
            <w:color w:val="16B8D4"/>
            <w:u w:val="single"/>
            <w:rFonts w:ascii="Hiragino Sans GB" w:hAnsi="Hiragino Sans GB" w:eastAsia="Hiragino Sans GB"/>
          </w:rPr>
          <w:t>https://agentmesh-platform-74a3.api.pinme.pro</w:t>
        </w:r>
      </w:hyperlink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"/>
        <w:gridCol w:w="9187"/>
      </w:tblGrid>
      <w:tr>
        <w:tc>
          <w:tcPr>
            <w:tcW w:type="dxa" w:w="173"/>
            <w:shd w:fill="16B8D4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/>
        </w:tc>
        <w:tc>
          <w:tcPr>
            <w:tcW w:type="dxa" w:w="9187"/>
            <w:shd w:fill="E8F8FB"/>
            <w:tcBorders>
              <w:top w:val="single" w:sz="0" w:color="E8F8FB"/>
              <w:left w:val="single" w:sz="0" w:color="E8F8FB"/>
              <w:bottom w:val="single" w:sz="0" w:color="E8F8FB"/>
              <w:right w:val="single" w:sz="0" w:color="E8F8FB"/>
              <w:insideH w:val="single" w:sz="0" w:color="E8F8FB"/>
              <w:insideV w:val="single" w:sz="0" w:color="E8F8FB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51A1E"/>
                <w:sz w:val="20"/>
              </w:rPr>
              <w:t>文档状态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66727A"/>
                <w:sz w:val="18"/>
              </w:rPr>
              <w:t>架构蓝皮书用于产品、技术尽调与融资路演沟通；部署地址、CID、测试数和合约地址会随版本演进，引用时应注明快照日期。</w:t>
            </w:r>
          </w:p>
        </w:tc>
      </w:tr>
    </w:tbl>
    <w:p>
      <w:pPr>
        <w:spacing w:after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sectPr>
      <w:headerReference w:type="default" r:id="rId9"/>
      <w:footerReference w:type="default" r:id="rId10"/>
      <w:pgSz w:w="12240" w:h="15840"/>
      <w:pgMar w:top="1181" w:right="1440" w:bottom="1080" w:left="1440" w:header="518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27A"/>
        <w:rFonts w:ascii="Hiragino Sans GB" w:hAnsi="Hiragino Sans GB" w:eastAsia="Hiragino Sans GB"/>
      </w:rPr>
      <w:fldChar w:fldCharType="begin"/>
    </w:r>
    <w:r>
      <w:rPr>
        <w:color w:val="66727A"/>
        <w:rFonts w:ascii="Hiragino Sans GB" w:hAnsi="Hiragino Sans GB" w:eastAsia="Hiragino Sans GB"/>
      </w:rPr>
      <w:instrText xml:space="preserve"> PAGE </w:instrText>
    </w:r>
    <w:r>
      <w:rPr>
        <w:color w:val="66727A"/>
        <w:rFonts w:ascii="Hiragino Sans GB" w:hAnsi="Hiragino Sans GB" w:eastAsia="Hiragino Sans GB"/>
      </w:rPr>
      <w:fldChar w:fldCharType="separate"/>
    </w:r>
    <w:r>
      <w:rPr>
        <w:color w:val="66727A"/>
        <w:rFonts w:ascii="Hiragino Sans GB" w:hAnsi="Hiragino Sans GB" w:eastAsia="Hiragino Sans GB"/>
      </w:rPr>
      <w:t>1</w:t>
    </w:r>
    <w:r>
      <w:rPr>
        <w:color w:val="66727A"/>
        <w:rFonts w:ascii="Hiragino Sans GB" w:hAnsi="Hiragino Sans GB" w:eastAsia="Hiragino Sans GB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b/>
        <w:color w:val="66727A"/>
        <w:sz w:val="15"/>
      </w:rPr>
      <w:t>PINME-MESH  /  ARCHITECTURE BLUEPAPER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Hiragino Sans GB" w:hAnsi="Hiragino Sans GB" w:eastAsia="Hiragino Sans GB"/>
      <w:color w:val="151A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esh-pinme.pinme.dev/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688355bf.pinme.dev/" TargetMode="External"/><Relationship Id="rId17" Type="http://schemas.openxmlformats.org/officeDocument/2006/relationships/hyperlink" Target="https://agentmesh-platform-74a3.api.pinme.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pinme-mesh 架构蓝皮书</dc:title>
  <dc:subject>可信 Agent 编排、可验证交付与结算治理架构</dc:subject>
  <dc:creator/>
  <cp:keywords>AI Agent, workflow, PinMe, IPFS, Cloudflare Worker, D1, Sepolia</cp:keywords>
  <dc:description>Roadshow architecture bluepaper, 2026-08-30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