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BÀI TẬP: ƯU TIÊN HÓA PRODUCT BACKLOG BẰNG MoSCoW</w:t>
      </w:r>
    </w:p>
    <w:p>
      <w:pPr>
        <w:pStyle w:val="Heading1"/>
      </w:pPr>
      <w:r>
        <w:t>Phần 1 - Đề xuất 2 cách gán nhãn</w:t>
      </w:r>
    </w:p>
    <w:p>
      <w:r>
        <w:t>Cách 1: Gán nhãn theo "Giá trị Cốt lõi &amp; Rủi ro" (Value/Risk-driven).</w:t>
        <w:br/>
        <w:t>Mô tả: Phân loại dựa trên sự sống còn của bản phát hành. Các hạng mục được xếp vào Must chỉ khi thiếu nó thì hệ thống không hoạt động được, vi phạm pháp luật, gây thất thoát tài chính, hoặc không đạt mục tiêu tối thiểu của đợt phát hành. Nếu có giải pháp thay thế (workaround), nó không phải là Must.</w:t>
      </w:r>
    </w:p>
    <w:p>
      <w:r>
        <w:t>Cách 2: Gán nhãn theo "Áp lực Bên liên quan" (Stakeholder-driven).</w:t>
        <w:br/>
        <w:t>Mô tả: Phân loại dựa trên mức độ yêu cầu và áp lực từ các phòng ban. Nếu Marketing hoặc Chăm sóc Khách hàng (CS) nhấn mạnh một tính năng là vô cùng cấp thiết với họ, nó sẽ được ưu tiên xếp vào Must để làm hài lòng các bộ phận này.</w:t>
      </w:r>
    </w:p>
    <w:p>
      <w:pPr>
        <w:pStyle w:val="Heading1"/>
      </w:pPr>
      <w:r>
        <w:t>Phần 2 - So sánh</w:t>
      </w:r>
    </w:p>
    <w:tbl>
      <w:tblPr>
        <w:tblStyle w:val="TableGrid"/>
        <w:tblW w:type="auto" w:w="0"/>
        <w:tblLook w:firstColumn="1" w:firstRow="1" w:lastColumn="0" w:lastRow="0" w:noHBand="0" w:noVBand="1" w:val="04A0"/>
      </w:tblPr>
      <w:tblGrid>
        <w:gridCol w:w="2880"/>
        <w:gridCol w:w="2880"/>
        <w:gridCol w:w="2880"/>
      </w:tblGrid>
      <w:tr>
        <w:tc>
          <w:tcPr>
            <w:tcW w:type="dxa" w:w="2880"/>
          </w:tcPr>
          <w:p>
            <w:r>
              <w:t>Tiêu chí</w:t>
            </w:r>
          </w:p>
        </w:tc>
        <w:tc>
          <w:tcPr>
            <w:tcW w:type="dxa" w:w="2880"/>
          </w:tcPr>
          <w:p>
            <w:r>
              <w:t>Cách 1: Giá trị Cốt lõi &amp; Rủi ro</w:t>
            </w:r>
          </w:p>
        </w:tc>
        <w:tc>
          <w:tcPr>
            <w:tcW w:type="dxa" w:w="2880"/>
          </w:tcPr>
          <w:p>
            <w:r>
              <w:t>Cách 2: Áp lực Bên liên quan</w:t>
            </w:r>
          </w:p>
        </w:tc>
      </w:tr>
      <w:tr>
        <w:tc>
          <w:tcPr>
            <w:tcW w:type="dxa" w:w="2880"/>
          </w:tcPr>
          <w:p>
            <w:r>
              <w:t>Khách quan khi nhiều bộ phận cùng đề xuất</w:t>
            </w:r>
          </w:p>
        </w:tc>
        <w:tc>
          <w:tcPr>
            <w:tcW w:type="dxa" w:w="2880"/>
          </w:tcPr>
          <w:p>
            <w:r>
              <w:t>(+) Rất khách quan. Dùng bộ lọc rõ ràng (có cách xử lý tạm không? hệ thống có chết không?) để bác bỏ các yêu cầu cảm tính, tránh tình trạng ai cũng đòi tính năng của mình là Must.</w:t>
            </w:r>
          </w:p>
        </w:tc>
        <w:tc>
          <w:tcPr>
            <w:tcW w:type="dxa" w:w="2880"/>
          </w:tcPr>
          <w:p>
            <w:r>
              <w:t>(-) Thiếu khách quan. Dễ dẫn đến tranh cãi vì mọi phòng ban đều coi yêu cầu của mình là quan trọng nhất, khiến nhóm Must vượt quá 60% năng lực.</w:t>
            </w:r>
          </w:p>
        </w:tc>
      </w:tr>
      <w:tr>
        <w:tc>
          <w:tcPr>
            <w:tcW w:type="dxa" w:w="2880"/>
          </w:tcPr>
          <w:p>
            <w:r>
              <w:t>Bảo vệ được hạng mục bắt buộc như #1 (Lỗi cước)</w:t>
            </w:r>
          </w:p>
        </w:tc>
        <w:tc>
          <w:tcPr>
            <w:tcW w:type="dxa" w:w="2880"/>
          </w:tcPr>
          <w:p>
            <w:r>
              <w:t>(+) Bảo vệ tuyệt đối. Lỗi sai tiền gây rủi ro tài chính và uy tín lớn, theo quy tắc rủi ro thì chắc chắn đây là ưu tiên Must hàng đầu.</w:t>
            </w:r>
          </w:p>
        </w:tc>
        <w:tc>
          <w:tcPr>
            <w:tcW w:type="dxa" w:w="2880"/>
          </w:tcPr>
          <w:p>
            <w:r>
              <w:t>(-) Rủi ro cao. Nếu mải chiều lòng các tính năng mới "đúng dịp" của Marketing và CS, hạng mục sửa lỗi có thể bị đẩy lùi lại gây hậu quả nghiêm trọng.</w:t>
            </w:r>
          </w:p>
        </w:tc>
      </w:tr>
    </w:tbl>
    <w:p>
      <w:pPr>
        <w:pStyle w:val="Heading1"/>
      </w:pPr>
      <w:r>
        <w:t>Phần 3 - Áp dụng</w:t>
      </w:r>
    </w:p>
    <w:p>
      <w:r>
        <w:t>Lựa chọn: Chọn Cách 1 (Giá trị Cốt lõi &amp; Rủi ro) để đảm bảo Sprint diễn ra an toàn, đúng mục tiêu và kiểm soát được dung lượng.</w:t>
      </w:r>
    </w:p>
    <w:p>
      <w:pPr>
        <w:pStyle w:val="Heading2"/>
      </w:pPr>
      <w:r>
        <w:t>Gán nhãn 6 hạng mục:</w:t>
      </w:r>
    </w:p>
    <w:p>
      <w:r>
        <w:t>• #1 Sửa lỗi hiển thị sai cước (2đ) -&gt; MUST. Lý do: Đang thu sai tiền khách, gây rủi ro thất thoát tài chính và khiếu nại, bắt buộc phải sửa ngay trước đợt khuyến mãi.</w:t>
      </w:r>
    </w:p>
    <w:p>
      <w:r>
        <w:t>• #2 Áp mã khuyến mãi (2đ) -&gt; MUST. Lý do: Là tính năng lõi (Core) của mục tiêu "Tháng khuyến mãi", không có nó thì đợt phát hành vô nghĩa.</w:t>
      </w:r>
    </w:p>
    <w:p>
      <w:r>
        <w:t>• #6 Giao diện trang trí (2đ) -&gt; SHOULD. Lý do: Nghe rất "đúng dịp" và tăng hiệu ứng Marketing, nhưng thiếu nó thì khách vẫn áp mã đặt xe được (hệ thống vẫn chạy bình thường).</w:t>
      </w:r>
    </w:p>
    <w:p>
      <w:r>
        <w:t>• #5 Chat với tài xế (3đ) -&gt; COULD. Lý do: Trải nghiệm CSKH rất tốt, nhưng hiện tại khách "vẫn gọi điện được" (đã có cách xử lý tạm thời / workaround).</w:t>
      </w:r>
    </w:p>
    <w:p>
      <w:r>
        <w:t>• #3 Thanh toán ví RikkeiPay (3đ) -&gt; WON'T. Lý do: Khách vẫn có thể trả bằng tiền mặt. Không liên quan trực tiếp đến đợt khuyến mãi, thông báo rõ với đội ví điện tử dời sang Sprint sau để tiết kiệm nguồn lực.</w:t>
      </w:r>
    </w:p>
    <w:p>
      <w:r>
        <w:t>• #4 Hẹn giờ đặt xe trước (3đ) -&gt; WON'T. Lý do: Không liên quan đến đợt khuyến mãi, tính năng phức tạp, sẽ lên kế hoạch cho đợt phát hành sau.</w:t>
      </w:r>
    </w:p>
    <w:p>
      <w:pPr>
        <w:pStyle w:val="Heading2"/>
      </w:pPr>
      <w:r>
        <w:t>Chốt danh sách vào Sprint:</w:t>
      </w:r>
    </w:p>
    <w:p>
      <w:r>
        <w:t>- Sprint Backlog được chọn: #1 (2đ), #2 (2đ), #6 (2đ), #5 (3đ).</w:t>
      </w:r>
    </w:p>
    <w:p>
      <w:r>
        <w:t>- Tổng điểm cam kết: 9 điểm (nhỏ hơn năng lực tối đa 10 điểm, đảm bảo an toàn).</w:t>
      </w:r>
    </w:p>
    <w:p>
      <w:r>
        <w:t>- Tính tỷ lệ Must: Tổng điểm nhóm Must (#1, #2) = 4 điểm. Tỷ lệ Must so với năng lực 10 điểm = 40% (Hoặc tính trên 9 điểm cam kết là 44.4%).</w:t>
      </w:r>
    </w:p>
    <w:p>
      <w:r>
        <w:t>- Nhận xét: Tỷ lệ 40% hoàn toàn phù hợp và an toàn (dưới mốc tối đa 60%). Nó giúp team có một bộ đệm an toàn (Should/Could chiếm 5 điểm) có thể chủ động cắt bỏ phần "Chat" hoặc "Trang trí" nếu gặp rủi ro trễ tiến độ mà không ảnh hưởng đến lõi khuyến mãi.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