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4574" w14:textId="77777777" w:rsidR="00E46088" w:rsidRDefault="00E46088" w:rsidP="00E46088">
      <w:r>
        <w:t>The S-M ratios of the 52 European branches and the 48 North American branches in the 2025 fiscal year differ in shape. Both distributions are unimodal, but Europe’s distribution is roughly symmetric, with its mean (15.12) close to its median (15.3), while North America’s distribution is skewed to the right, with a long right tail and a mean (16.06) greater than its median (15.3).</w:t>
      </w:r>
    </w:p>
    <w:p w14:paraId="364D3022" w14:textId="77777777" w:rsidR="00E46088" w:rsidRDefault="00E46088" w:rsidP="00E46088">
      <w:r>
        <w:t>Using the 1.5 × IQR rule, Europe’s fences are 14.2 − 1.5(1.7) = 11.65 and 15.9 + 1.5(1.7) = 18.45. Since all European ratios are between 12.3 and 18.3, Europe has no outliers. North America’s fences are 14.4 − 1.5(2.7) = 10.35 and 17.1 + 1.5(2.7) = 21.15, so the ratios of 21.3 and 21.8 are high outliers, while 20.6 is not an outlier.</w:t>
      </w:r>
    </w:p>
    <w:p w14:paraId="4A3C5CA5" w14:textId="77777777" w:rsidR="00E46088" w:rsidRDefault="00E46088" w:rsidP="00E46088">
      <w:r>
        <w:t>Because North America’s distribution is skewed and has outliers, the median is the better measure of center. The medians are the same: 15.3 salespeople per marketing employee in both regions. North America’s higher mean is caused by its right tail and outliers, so comparing means would wrongly suggest that North American branches typically have more salespeople per marketing employee.</w:t>
      </w:r>
    </w:p>
    <w:p w14:paraId="51E382B6" w14:textId="0AF03671" w:rsidR="00E72132" w:rsidRPr="00E46088" w:rsidRDefault="00E46088" w:rsidP="00E46088">
      <w:pPr>
        <w:rPr>
          <w:rFonts w:hint="eastAsia"/>
        </w:rPr>
      </w:pPr>
      <w:r>
        <w:t>For the same reason, the IQR is the better measure of spread. North America is more variable than Europe: its IQR is 2.7, compared with 1.7 for Europe. The middle 50% of North American branches have between 14.4 and 17.1 salespeople per marketing employee, while the middle 50% of European branches have between 14.2 and 15.9. In other words, a typical branch in either region has about 15.3 salespeople for each marketing employee, but staffing ratios differ much more from branch to branch in North America.</w:t>
      </w:r>
    </w:p>
    <w:sectPr w:rsidR="00E72132" w:rsidRPr="00E46088">
      <w:footerReference w:type="default" r:id="rId7"/>
      <w:pgSz w:w="11906" w:h="16838"/>
      <w:pgMar w:top="620" w:right="720" w:bottom="6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25EC0" w14:textId="77777777" w:rsidR="00C350A5" w:rsidRDefault="00C350A5">
      <w:r>
        <w:separator/>
      </w:r>
    </w:p>
  </w:endnote>
  <w:endnote w:type="continuationSeparator" w:id="0">
    <w:p w14:paraId="22686926" w14:textId="77777777" w:rsidR="00C350A5" w:rsidRDefault="00C35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8DB5" w14:textId="77777777" w:rsidR="00E72132" w:rsidRDefault="00000000">
    <w:pPr>
      <w:jc w:val="center"/>
    </w:pPr>
    <w:r>
      <w:rPr>
        <w:sz w:val="16"/>
        <w:szCs w:val="16"/>
      </w:rPr>
      <w:fldChar w:fldCharType="begin"/>
    </w:r>
    <w:r>
      <w:rPr>
        <w:rFonts w:eastAsia="Calibri"/>
        <w:sz w:val="16"/>
        <w:szCs w:val="16"/>
      </w:rPr>
      <w:instrText>PAGE</w:instrText>
    </w:r>
    <w:r>
      <w:rPr>
        <w:sz w:val="16"/>
        <w:szCs w:val="16"/>
      </w:rPr>
      <w:fldChar w:fldCharType="separate"/>
    </w:r>
    <w:r w:rsidR="00EE288A">
      <w:rPr>
        <w:rFonts w:eastAsia="Calibri"/>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34AE" w14:textId="77777777" w:rsidR="00C350A5" w:rsidRDefault="00C350A5">
      <w:r>
        <w:separator/>
      </w:r>
    </w:p>
  </w:footnote>
  <w:footnote w:type="continuationSeparator" w:id="0">
    <w:p w14:paraId="077E13B0" w14:textId="77777777" w:rsidR="00C350A5" w:rsidRDefault="00C350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75A"/>
    <w:multiLevelType w:val="hybridMultilevel"/>
    <w:tmpl w:val="C006367C"/>
    <w:lvl w:ilvl="0" w:tplc="94E83442">
      <w:start w:val="1"/>
      <w:numFmt w:val="bullet"/>
      <w:lvlText w:val="●"/>
      <w:lvlJc w:val="left"/>
      <w:pPr>
        <w:ind w:left="720" w:hanging="360"/>
      </w:pPr>
    </w:lvl>
    <w:lvl w:ilvl="1" w:tplc="273A54E6">
      <w:start w:val="1"/>
      <w:numFmt w:val="bullet"/>
      <w:lvlText w:val="○"/>
      <w:lvlJc w:val="left"/>
      <w:pPr>
        <w:ind w:left="1440" w:hanging="360"/>
      </w:pPr>
    </w:lvl>
    <w:lvl w:ilvl="2" w:tplc="7830501A">
      <w:start w:val="1"/>
      <w:numFmt w:val="bullet"/>
      <w:lvlText w:val="■"/>
      <w:lvlJc w:val="left"/>
      <w:pPr>
        <w:ind w:left="2160" w:hanging="360"/>
      </w:pPr>
    </w:lvl>
    <w:lvl w:ilvl="3" w:tplc="6FCEBD5E">
      <w:start w:val="1"/>
      <w:numFmt w:val="bullet"/>
      <w:lvlText w:val="●"/>
      <w:lvlJc w:val="left"/>
      <w:pPr>
        <w:ind w:left="2880" w:hanging="360"/>
      </w:pPr>
    </w:lvl>
    <w:lvl w:ilvl="4" w:tplc="323C9610">
      <w:start w:val="1"/>
      <w:numFmt w:val="bullet"/>
      <w:lvlText w:val="○"/>
      <w:lvlJc w:val="left"/>
      <w:pPr>
        <w:ind w:left="3600" w:hanging="360"/>
      </w:pPr>
    </w:lvl>
    <w:lvl w:ilvl="5" w:tplc="6EAE67A2">
      <w:start w:val="1"/>
      <w:numFmt w:val="bullet"/>
      <w:lvlText w:val="■"/>
      <w:lvlJc w:val="left"/>
      <w:pPr>
        <w:ind w:left="4320" w:hanging="360"/>
      </w:pPr>
    </w:lvl>
    <w:lvl w:ilvl="6" w:tplc="4A44ABB8">
      <w:start w:val="1"/>
      <w:numFmt w:val="bullet"/>
      <w:lvlText w:val="●"/>
      <w:lvlJc w:val="left"/>
      <w:pPr>
        <w:ind w:left="5040" w:hanging="360"/>
      </w:pPr>
    </w:lvl>
    <w:lvl w:ilvl="7" w:tplc="2834C97A">
      <w:start w:val="1"/>
      <w:numFmt w:val="bullet"/>
      <w:lvlText w:val="●"/>
      <w:lvlJc w:val="left"/>
      <w:pPr>
        <w:ind w:left="5760" w:hanging="360"/>
      </w:pPr>
    </w:lvl>
    <w:lvl w:ilvl="8" w:tplc="CE46C7F2">
      <w:start w:val="1"/>
      <w:numFmt w:val="bullet"/>
      <w:lvlText w:val="●"/>
      <w:lvlJc w:val="left"/>
      <w:pPr>
        <w:ind w:left="6480" w:hanging="360"/>
      </w:pPr>
    </w:lvl>
  </w:abstractNum>
  <w:num w:numId="1" w16cid:durableId="1400595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132"/>
    <w:rsid w:val="0032747F"/>
    <w:rsid w:val="00694650"/>
    <w:rsid w:val="00A208FD"/>
    <w:rsid w:val="00C350A5"/>
    <w:rsid w:val="00E46088"/>
    <w:rsid w:val="00E72132"/>
    <w:rsid w:val="00EE28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FE387"/>
  <w15:docId w15:val="{93BCC66B-FFAA-443E-8569-DDAF84ED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19"/>
        <w:szCs w:val="19"/>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E46088"/>
    <w:pPr>
      <w:tabs>
        <w:tab w:val="center" w:pos="4153"/>
        <w:tab w:val="right" w:pos="8306"/>
      </w:tabs>
      <w:snapToGrid w:val="0"/>
    </w:pPr>
    <w:rPr>
      <w:sz w:val="20"/>
      <w:szCs w:val="20"/>
    </w:rPr>
  </w:style>
  <w:style w:type="character" w:customStyle="1" w:styleId="ad">
    <w:name w:val="頁首 字元"/>
    <w:basedOn w:val="a0"/>
    <w:link w:val="ac"/>
    <w:uiPriority w:val="99"/>
    <w:rsid w:val="00E46088"/>
    <w:rPr>
      <w:sz w:val="20"/>
      <w:szCs w:val="20"/>
    </w:rPr>
  </w:style>
  <w:style w:type="paragraph" w:styleId="ae">
    <w:name w:val="footer"/>
    <w:basedOn w:val="a"/>
    <w:link w:val="af"/>
    <w:uiPriority w:val="99"/>
    <w:unhideWhenUsed/>
    <w:rsid w:val="00E46088"/>
    <w:pPr>
      <w:tabs>
        <w:tab w:val="center" w:pos="4153"/>
        <w:tab w:val="right" w:pos="8306"/>
      </w:tabs>
      <w:snapToGrid w:val="0"/>
    </w:pPr>
    <w:rPr>
      <w:sz w:val="20"/>
      <w:szCs w:val="20"/>
    </w:rPr>
  </w:style>
  <w:style w:type="character" w:customStyle="1" w:styleId="af">
    <w:name w:val="頁尾 字元"/>
    <w:basedOn w:val="a0"/>
    <w:link w:val="ae"/>
    <w:uiPriority w:val="99"/>
    <w:rsid w:val="00E4608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丁聖曦</cp:lastModifiedBy>
  <cp:revision>3</cp:revision>
  <dcterms:created xsi:type="dcterms:W3CDTF">2026-10-07T13:08:00Z</dcterms:created>
  <dcterms:modified xsi:type="dcterms:W3CDTF">2026-10-12T22:58:00Z</dcterms:modified>
</cp:coreProperties>
</file>