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03F90" w14:textId="77777777" w:rsidR="00870B79" w:rsidRDefault="00000000">
      <w:pPr>
        <w:spacing w:after="30" w:line="250" w:lineRule="auto"/>
      </w:pPr>
      <w:r>
        <w:rPr>
          <w:rFonts w:eastAsia="Calibri"/>
          <w:b/>
          <w:bCs/>
          <w:color w:val="1F3864"/>
          <w:sz w:val="26"/>
          <w:szCs w:val="26"/>
        </w:rPr>
        <w:t>SOCS Comparison Practice: S-M Ratios in Europe and North America</w:t>
      </w:r>
    </w:p>
    <w:p w14:paraId="38950EA3" w14:textId="77777777" w:rsidR="00870B79" w:rsidRDefault="00000000">
      <w:pPr>
        <w:spacing w:after="50" w:line="250" w:lineRule="auto"/>
      </w:pPr>
      <w:r>
        <w:rPr>
          <w:rFonts w:eastAsia="Calibri"/>
          <w:i/>
          <w:iCs/>
          <w:sz w:val="18"/>
          <w:szCs w:val="18"/>
        </w:rPr>
        <w:t>Show all your work. Indicate clearly the methods you use, because you will be graded on the correctness of your methods as well as on the accuracy of your results and explanation.</w:t>
      </w:r>
    </w:p>
    <w:p w14:paraId="495F685E" w14:textId="77777777" w:rsidR="00870B79" w:rsidRDefault="00000000">
      <w:pPr>
        <w:spacing w:after="20" w:line="250" w:lineRule="auto"/>
      </w:pPr>
      <w:r>
        <w:rPr>
          <w:rFonts w:eastAsia="Calibri"/>
        </w:rPr>
        <w:t xml:space="preserve">A multinational corporation calculates the </w:t>
      </w:r>
      <w:r>
        <w:rPr>
          <w:rFonts w:eastAsia="Calibri"/>
          <w:b/>
          <w:bCs/>
        </w:rPr>
        <w:t>sales-to-marketing personnel ratio (S-M ratio)</w:t>
      </w:r>
      <w:r>
        <w:rPr>
          <w:rFonts w:eastAsia="Calibri"/>
        </w:rPr>
        <w:t xml:space="preserve">, defined as the </w:t>
      </w:r>
      <w:r>
        <w:rPr>
          <w:rFonts w:eastAsia="Calibri"/>
          <w:b/>
          <w:bCs/>
        </w:rPr>
        <w:t>number of salespeople per marketing employee</w:t>
      </w:r>
      <w:r>
        <w:rPr>
          <w:rFonts w:eastAsia="Calibri"/>
        </w:rPr>
        <w:t xml:space="preserve">, for each of its branches. The histograms show the S-M ratios for the </w:t>
      </w:r>
      <w:r>
        <w:rPr>
          <w:rFonts w:eastAsia="Calibri"/>
          <w:b/>
          <w:bCs/>
        </w:rPr>
        <w:t>52 branches in Europe</w:t>
      </w:r>
      <w:r>
        <w:rPr>
          <w:rFonts w:eastAsia="Calibri"/>
        </w:rPr>
        <w:t xml:space="preserve"> and the </w:t>
      </w:r>
      <w:r>
        <w:rPr>
          <w:rFonts w:eastAsia="Calibri"/>
          <w:b/>
          <w:bCs/>
        </w:rPr>
        <w:t>48 branches in North America</w:t>
      </w:r>
      <w:r>
        <w:rPr>
          <w:rFonts w:eastAsia="Calibri"/>
        </w:rPr>
        <w:t xml:space="preserve"> during the 2025 fiscal year.</w:t>
      </w:r>
    </w:p>
    <w:p w14:paraId="6C33C03A" w14:textId="77777777" w:rsidR="00870B79" w:rsidRDefault="00000000">
      <w:pPr>
        <w:spacing w:before="30" w:after="30"/>
        <w:jc w:val="center"/>
      </w:pPr>
      <w:r>
        <w:rPr>
          <w:noProof/>
        </w:rPr>
        <w:drawing>
          <wp:inline distT="0" distB="0" distL="0" distR="0" wp14:anchorId="681E3E76" wp14:editId="6B4F222F">
            <wp:extent cx="6572250" cy="2219325"/>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572250" cy="2219325"/>
                    </a:xfrm>
                    <a:prstGeom prst="rect">
                      <a:avLst/>
                    </a:prstGeom>
                  </pic:spPr>
                </pic:pic>
              </a:graphicData>
            </a:graphic>
          </wp:inline>
        </w:drawing>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6"/>
        <w:gridCol w:w="700"/>
        <w:gridCol w:w="1070"/>
        <w:gridCol w:w="1070"/>
        <w:gridCol w:w="1070"/>
        <w:gridCol w:w="1070"/>
        <w:gridCol w:w="1150"/>
        <w:gridCol w:w="1070"/>
        <w:gridCol w:w="1360"/>
      </w:tblGrid>
      <w:tr w:rsidR="00870B79" w14:paraId="4A19373A" w14:textId="77777777">
        <w:tblPrEx>
          <w:tblCellMar>
            <w:top w:w="0" w:type="dxa"/>
            <w:bottom w:w="0" w:type="dxa"/>
          </w:tblCellMar>
        </w:tblPrEx>
        <w:trPr>
          <w:cantSplit/>
          <w:tblHeader/>
        </w:trPr>
        <w:tc>
          <w:tcPr>
            <w:tcW w:w="1906" w:type="dxa"/>
            <w:tcBorders>
              <w:top w:val="single" w:sz="4" w:space="0" w:color="BFBFBF"/>
              <w:left w:val="single" w:sz="4" w:space="0" w:color="BFBFBF"/>
              <w:bottom w:val="single" w:sz="4" w:space="0" w:color="BFBFBF"/>
              <w:right w:val="single" w:sz="4" w:space="0" w:color="BFBFBF"/>
            </w:tcBorders>
            <w:shd w:val="clear" w:color="auto" w:fill="1F3864"/>
            <w:tcMar>
              <w:top w:w="25" w:type="dxa"/>
              <w:left w:w="80" w:type="dxa"/>
              <w:bottom w:w="25" w:type="dxa"/>
              <w:right w:w="80" w:type="dxa"/>
            </w:tcMar>
          </w:tcPr>
          <w:p w14:paraId="1862685C" w14:textId="77777777" w:rsidR="00870B79" w:rsidRDefault="00000000">
            <w:pPr>
              <w:spacing w:line="230" w:lineRule="auto"/>
              <w:jc w:val="center"/>
            </w:pPr>
            <w:r>
              <w:rPr>
                <w:rFonts w:eastAsia="Calibri"/>
                <w:b/>
                <w:bCs/>
                <w:color w:val="FFFFFF"/>
                <w:sz w:val="18"/>
                <w:szCs w:val="18"/>
              </w:rPr>
              <w:t>Region</w:t>
            </w:r>
          </w:p>
        </w:tc>
        <w:tc>
          <w:tcPr>
            <w:tcW w:w="700" w:type="dxa"/>
            <w:tcBorders>
              <w:top w:val="single" w:sz="4" w:space="0" w:color="BFBFBF"/>
              <w:left w:val="single" w:sz="4" w:space="0" w:color="BFBFBF"/>
              <w:bottom w:val="single" w:sz="4" w:space="0" w:color="BFBFBF"/>
              <w:right w:val="single" w:sz="4" w:space="0" w:color="BFBFBF"/>
            </w:tcBorders>
            <w:shd w:val="clear" w:color="auto" w:fill="1F3864"/>
            <w:tcMar>
              <w:top w:w="25" w:type="dxa"/>
              <w:left w:w="80" w:type="dxa"/>
              <w:bottom w:w="25" w:type="dxa"/>
              <w:right w:w="80" w:type="dxa"/>
            </w:tcMar>
          </w:tcPr>
          <w:p w14:paraId="124A4B7F" w14:textId="77777777" w:rsidR="00870B79" w:rsidRDefault="00000000">
            <w:pPr>
              <w:spacing w:line="230" w:lineRule="auto"/>
              <w:jc w:val="center"/>
            </w:pPr>
            <w:r>
              <w:rPr>
                <w:rFonts w:eastAsia="Calibri"/>
                <w:b/>
                <w:bCs/>
                <w:color w:val="FFFFFF"/>
                <w:sz w:val="18"/>
                <w:szCs w:val="18"/>
              </w:rPr>
              <w:t>n</w:t>
            </w:r>
          </w:p>
        </w:tc>
        <w:tc>
          <w:tcPr>
            <w:tcW w:w="1070" w:type="dxa"/>
            <w:tcBorders>
              <w:top w:val="single" w:sz="4" w:space="0" w:color="BFBFBF"/>
              <w:left w:val="single" w:sz="4" w:space="0" w:color="BFBFBF"/>
              <w:bottom w:val="single" w:sz="4" w:space="0" w:color="BFBFBF"/>
              <w:right w:val="single" w:sz="4" w:space="0" w:color="BFBFBF"/>
            </w:tcBorders>
            <w:shd w:val="clear" w:color="auto" w:fill="1F3864"/>
            <w:tcMar>
              <w:top w:w="25" w:type="dxa"/>
              <w:left w:w="80" w:type="dxa"/>
              <w:bottom w:w="25" w:type="dxa"/>
              <w:right w:w="80" w:type="dxa"/>
            </w:tcMar>
          </w:tcPr>
          <w:p w14:paraId="473EF1D9" w14:textId="77777777" w:rsidR="00870B79" w:rsidRDefault="00000000">
            <w:pPr>
              <w:spacing w:line="230" w:lineRule="auto"/>
              <w:jc w:val="center"/>
            </w:pPr>
            <w:r>
              <w:rPr>
                <w:rFonts w:eastAsia="Calibri"/>
                <w:b/>
                <w:bCs/>
                <w:color w:val="FFFFFF"/>
                <w:sz w:val="18"/>
                <w:szCs w:val="18"/>
              </w:rPr>
              <w:t>Mean</w:t>
            </w:r>
          </w:p>
        </w:tc>
        <w:tc>
          <w:tcPr>
            <w:tcW w:w="1070" w:type="dxa"/>
            <w:tcBorders>
              <w:top w:val="single" w:sz="4" w:space="0" w:color="BFBFBF"/>
              <w:left w:val="single" w:sz="4" w:space="0" w:color="BFBFBF"/>
              <w:bottom w:val="single" w:sz="4" w:space="0" w:color="BFBFBF"/>
              <w:right w:val="single" w:sz="4" w:space="0" w:color="BFBFBF"/>
            </w:tcBorders>
            <w:shd w:val="clear" w:color="auto" w:fill="1F3864"/>
            <w:tcMar>
              <w:top w:w="25" w:type="dxa"/>
              <w:left w:w="80" w:type="dxa"/>
              <w:bottom w:w="25" w:type="dxa"/>
              <w:right w:w="80" w:type="dxa"/>
            </w:tcMar>
          </w:tcPr>
          <w:p w14:paraId="54D0D9D6" w14:textId="77777777" w:rsidR="00870B79" w:rsidRDefault="00000000">
            <w:pPr>
              <w:spacing w:line="230" w:lineRule="auto"/>
              <w:jc w:val="center"/>
            </w:pPr>
            <w:r>
              <w:rPr>
                <w:rFonts w:eastAsia="Calibri"/>
                <w:b/>
                <w:bCs/>
                <w:color w:val="FFFFFF"/>
                <w:sz w:val="18"/>
                <w:szCs w:val="18"/>
              </w:rPr>
              <w:t>SD</w:t>
            </w:r>
          </w:p>
        </w:tc>
        <w:tc>
          <w:tcPr>
            <w:tcW w:w="1070" w:type="dxa"/>
            <w:tcBorders>
              <w:top w:val="single" w:sz="4" w:space="0" w:color="BFBFBF"/>
              <w:left w:val="single" w:sz="4" w:space="0" w:color="BFBFBF"/>
              <w:bottom w:val="single" w:sz="4" w:space="0" w:color="BFBFBF"/>
              <w:right w:val="single" w:sz="4" w:space="0" w:color="BFBFBF"/>
            </w:tcBorders>
            <w:shd w:val="clear" w:color="auto" w:fill="1F3864"/>
            <w:tcMar>
              <w:top w:w="25" w:type="dxa"/>
              <w:left w:w="80" w:type="dxa"/>
              <w:bottom w:w="25" w:type="dxa"/>
              <w:right w:w="80" w:type="dxa"/>
            </w:tcMar>
          </w:tcPr>
          <w:p w14:paraId="6B41D5EF" w14:textId="77777777" w:rsidR="00870B79" w:rsidRDefault="00000000">
            <w:pPr>
              <w:spacing w:line="230" w:lineRule="auto"/>
              <w:jc w:val="center"/>
            </w:pPr>
            <w:r>
              <w:rPr>
                <w:rFonts w:eastAsia="Calibri"/>
                <w:b/>
                <w:bCs/>
                <w:color w:val="FFFFFF"/>
                <w:sz w:val="18"/>
                <w:szCs w:val="18"/>
              </w:rPr>
              <w:t>Min</w:t>
            </w:r>
          </w:p>
        </w:tc>
        <w:tc>
          <w:tcPr>
            <w:tcW w:w="1070" w:type="dxa"/>
            <w:tcBorders>
              <w:top w:val="single" w:sz="4" w:space="0" w:color="BFBFBF"/>
              <w:left w:val="single" w:sz="4" w:space="0" w:color="BFBFBF"/>
              <w:bottom w:val="single" w:sz="4" w:space="0" w:color="BFBFBF"/>
              <w:right w:val="single" w:sz="4" w:space="0" w:color="BFBFBF"/>
            </w:tcBorders>
            <w:shd w:val="clear" w:color="auto" w:fill="1F3864"/>
            <w:tcMar>
              <w:top w:w="25" w:type="dxa"/>
              <w:left w:w="80" w:type="dxa"/>
              <w:bottom w:w="25" w:type="dxa"/>
              <w:right w:w="80" w:type="dxa"/>
            </w:tcMar>
          </w:tcPr>
          <w:p w14:paraId="57B920F1" w14:textId="77777777" w:rsidR="00870B79" w:rsidRDefault="00000000">
            <w:pPr>
              <w:spacing w:line="230" w:lineRule="auto"/>
              <w:jc w:val="center"/>
            </w:pPr>
            <w:r>
              <w:rPr>
                <w:rFonts w:eastAsia="Calibri"/>
                <w:b/>
                <w:bCs/>
                <w:color w:val="FFFFFF"/>
                <w:sz w:val="18"/>
                <w:szCs w:val="18"/>
              </w:rPr>
              <w:t>Q1</w:t>
            </w:r>
          </w:p>
        </w:tc>
        <w:tc>
          <w:tcPr>
            <w:tcW w:w="1150" w:type="dxa"/>
            <w:tcBorders>
              <w:top w:val="single" w:sz="4" w:space="0" w:color="BFBFBF"/>
              <w:left w:val="single" w:sz="4" w:space="0" w:color="BFBFBF"/>
              <w:bottom w:val="single" w:sz="4" w:space="0" w:color="BFBFBF"/>
              <w:right w:val="single" w:sz="4" w:space="0" w:color="BFBFBF"/>
            </w:tcBorders>
            <w:shd w:val="clear" w:color="auto" w:fill="1F3864"/>
            <w:tcMar>
              <w:top w:w="25" w:type="dxa"/>
              <w:left w:w="80" w:type="dxa"/>
              <w:bottom w:w="25" w:type="dxa"/>
              <w:right w:w="80" w:type="dxa"/>
            </w:tcMar>
          </w:tcPr>
          <w:p w14:paraId="7431A5C6" w14:textId="77777777" w:rsidR="00870B79" w:rsidRDefault="00000000">
            <w:pPr>
              <w:spacing w:line="230" w:lineRule="auto"/>
              <w:jc w:val="center"/>
            </w:pPr>
            <w:r>
              <w:rPr>
                <w:rFonts w:eastAsia="Calibri"/>
                <w:b/>
                <w:bCs/>
                <w:color w:val="FFFFFF"/>
                <w:sz w:val="18"/>
                <w:szCs w:val="18"/>
              </w:rPr>
              <w:t>Median</w:t>
            </w:r>
          </w:p>
        </w:tc>
        <w:tc>
          <w:tcPr>
            <w:tcW w:w="1070" w:type="dxa"/>
            <w:tcBorders>
              <w:top w:val="single" w:sz="4" w:space="0" w:color="BFBFBF"/>
              <w:left w:val="single" w:sz="4" w:space="0" w:color="BFBFBF"/>
              <w:bottom w:val="single" w:sz="4" w:space="0" w:color="BFBFBF"/>
              <w:right w:val="single" w:sz="4" w:space="0" w:color="BFBFBF"/>
            </w:tcBorders>
            <w:shd w:val="clear" w:color="auto" w:fill="1F3864"/>
            <w:tcMar>
              <w:top w:w="25" w:type="dxa"/>
              <w:left w:w="80" w:type="dxa"/>
              <w:bottom w:w="25" w:type="dxa"/>
              <w:right w:w="80" w:type="dxa"/>
            </w:tcMar>
          </w:tcPr>
          <w:p w14:paraId="2FB1902C" w14:textId="77777777" w:rsidR="00870B79" w:rsidRDefault="00000000">
            <w:pPr>
              <w:spacing w:line="230" w:lineRule="auto"/>
              <w:jc w:val="center"/>
            </w:pPr>
            <w:r>
              <w:rPr>
                <w:rFonts w:eastAsia="Calibri"/>
                <w:b/>
                <w:bCs/>
                <w:color w:val="FFFFFF"/>
                <w:sz w:val="18"/>
                <w:szCs w:val="18"/>
              </w:rPr>
              <w:t>Q3</w:t>
            </w:r>
          </w:p>
        </w:tc>
        <w:tc>
          <w:tcPr>
            <w:tcW w:w="1360" w:type="dxa"/>
            <w:tcBorders>
              <w:top w:val="single" w:sz="4" w:space="0" w:color="BFBFBF"/>
              <w:left w:val="single" w:sz="4" w:space="0" w:color="BFBFBF"/>
              <w:bottom w:val="single" w:sz="4" w:space="0" w:color="BFBFBF"/>
              <w:right w:val="single" w:sz="4" w:space="0" w:color="BFBFBF"/>
            </w:tcBorders>
            <w:shd w:val="clear" w:color="auto" w:fill="1F3864"/>
            <w:tcMar>
              <w:top w:w="25" w:type="dxa"/>
              <w:left w:w="80" w:type="dxa"/>
              <w:bottom w:w="25" w:type="dxa"/>
              <w:right w:w="80" w:type="dxa"/>
            </w:tcMar>
          </w:tcPr>
          <w:p w14:paraId="49F4A98C" w14:textId="77777777" w:rsidR="00870B79" w:rsidRDefault="00000000">
            <w:pPr>
              <w:spacing w:line="230" w:lineRule="auto"/>
              <w:jc w:val="center"/>
            </w:pPr>
            <w:r>
              <w:rPr>
                <w:rFonts w:eastAsia="Calibri"/>
                <w:b/>
                <w:bCs/>
                <w:color w:val="FFFFFF"/>
                <w:sz w:val="18"/>
                <w:szCs w:val="18"/>
              </w:rPr>
              <w:t>Max</w:t>
            </w:r>
          </w:p>
        </w:tc>
      </w:tr>
      <w:tr w:rsidR="00870B79" w14:paraId="577F255B" w14:textId="77777777">
        <w:tblPrEx>
          <w:tblCellMar>
            <w:top w:w="0" w:type="dxa"/>
            <w:bottom w:w="0" w:type="dxa"/>
          </w:tblCellMar>
        </w:tblPrEx>
        <w:trPr>
          <w:cantSplit/>
        </w:trPr>
        <w:tc>
          <w:tcPr>
            <w:tcW w:w="1906" w:type="dxa"/>
            <w:tcBorders>
              <w:top w:val="single" w:sz="4" w:space="0" w:color="BFBFBF"/>
              <w:left w:val="single" w:sz="4" w:space="0" w:color="BFBFBF"/>
              <w:bottom w:val="single" w:sz="4" w:space="0" w:color="BFBFBF"/>
              <w:right w:val="single" w:sz="4" w:space="0" w:color="BFBFBF"/>
            </w:tcBorders>
            <w:tcMar>
              <w:top w:w="25" w:type="dxa"/>
              <w:left w:w="80" w:type="dxa"/>
              <w:bottom w:w="25" w:type="dxa"/>
              <w:right w:w="80" w:type="dxa"/>
            </w:tcMar>
          </w:tcPr>
          <w:p w14:paraId="44687DF8" w14:textId="77777777" w:rsidR="00870B79" w:rsidRDefault="00000000">
            <w:pPr>
              <w:spacing w:line="230" w:lineRule="auto"/>
              <w:jc w:val="center"/>
            </w:pPr>
            <w:r>
              <w:rPr>
                <w:rFonts w:eastAsia="Calibri"/>
                <w:b/>
                <w:bCs/>
                <w:sz w:val="18"/>
                <w:szCs w:val="18"/>
              </w:rPr>
              <w:t>Europe</w:t>
            </w:r>
          </w:p>
        </w:tc>
        <w:tc>
          <w:tcPr>
            <w:tcW w:w="700" w:type="dxa"/>
            <w:tcBorders>
              <w:top w:val="single" w:sz="4" w:space="0" w:color="BFBFBF"/>
              <w:left w:val="single" w:sz="4" w:space="0" w:color="BFBFBF"/>
              <w:bottom w:val="single" w:sz="4" w:space="0" w:color="BFBFBF"/>
              <w:right w:val="single" w:sz="4" w:space="0" w:color="BFBFBF"/>
            </w:tcBorders>
            <w:tcMar>
              <w:top w:w="25" w:type="dxa"/>
              <w:left w:w="80" w:type="dxa"/>
              <w:bottom w:w="25" w:type="dxa"/>
              <w:right w:w="80" w:type="dxa"/>
            </w:tcMar>
          </w:tcPr>
          <w:p w14:paraId="77B55B06" w14:textId="77777777" w:rsidR="00870B79" w:rsidRDefault="00000000">
            <w:pPr>
              <w:spacing w:line="230" w:lineRule="auto"/>
              <w:jc w:val="center"/>
            </w:pPr>
            <w:r>
              <w:rPr>
                <w:rFonts w:eastAsia="Calibri"/>
                <w:sz w:val="18"/>
                <w:szCs w:val="18"/>
              </w:rPr>
              <w:t>52</w:t>
            </w:r>
          </w:p>
        </w:tc>
        <w:tc>
          <w:tcPr>
            <w:tcW w:w="1070" w:type="dxa"/>
            <w:tcBorders>
              <w:top w:val="single" w:sz="4" w:space="0" w:color="BFBFBF"/>
              <w:left w:val="single" w:sz="4" w:space="0" w:color="BFBFBF"/>
              <w:bottom w:val="single" w:sz="4" w:space="0" w:color="BFBFBF"/>
              <w:right w:val="single" w:sz="4" w:space="0" w:color="BFBFBF"/>
            </w:tcBorders>
            <w:tcMar>
              <w:top w:w="25" w:type="dxa"/>
              <w:left w:w="80" w:type="dxa"/>
              <w:bottom w:w="25" w:type="dxa"/>
              <w:right w:w="80" w:type="dxa"/>
            </w:tcMar>
          </w:tcPr>
          <w:p w14:paraId="0371DD69" w14:textId="77777777" w:rsidR="00870B79" w:rsidRDefault="00000000">
            <w:pPr>
              <w:spacing w:line="230" w:lineRule="auto"/>
              <w:jc w:val="center"/>
            </w:pPr>
            <w:r>
              <w:rPr>
                <w:rFonts w:eastAsia="Calibri"/>
                <w:sz w:val="18"/>
                <w:szCs w:val="18"/>
              </w:rPr>
              <w:t>15.12</w:t>
            </w:r>
          </w:p>
        </w:tc>
        <w:tc>
          <w:tcPr>
            <w:tcW w:w="1070" w:type="dxa"/>
            <w:tcBorders>
              <w:top w:val="single" w:sz="4" w:space="0" w:color="BFBFBF"/>
              <w:left w:val="single" w:sz="4" w:space="0" w:color="BFBFBF"/>
              <w:bottom w:val="single" w:sz="4" w:space="0" w:color="BFBFBF"/>
              <w:right w:val="single" w:sz="4" w:space="0" w:color="BFBFBF"/>
            </w:tcBorders>
            <w:tcMar>
              <w:top w:w="25" w:type="dxa"/>
              <w:left w:w="80" w:type="dxa"/>
              <w:bottom w:w="25" w:type="dxa"/>
              <w:right w:w="80" w:type="dxa"/>
            </w:tcMar>
          </w:tcPr>
          <w:p w14:paraId="4247ABBC" w14:textId="77777777" w:rsidR="00870B79" w:rsidRDefault="00000000">
            <w:pPr>
              <w:spacing w:line="230" w:lineRule="auto"/>
              <w:jc w:val="center"/>
            </w:pPr>
            <w:r>
              <w:rPr>
                <w:rFonts w:eastAsia="Calibri"/>
                <w:sz w:val="18"/>
                <w:szCs w:val="18"/>
              </w:rPr>
              <w:t>1.37</w:t>
            </w:r>
          </w:p>
        </w:tc>
        <w:tc>
          <w:tcPr>
            <w:tcW w:w="1070" w:type="dxa"/>
            <w:tcBorders>
              <w:top w:val="single" w:sz="4" w:space="0" w:color="BFBFBF"/>
              <w:left w:val="single" w:sz="4" w:space="0" w:color="BFBFBF"/>
              <w:bottom w:val="single" w:sz="4" w:space="0" w:color="BFBFBF"/>
              <w:right w:val="single" w:sz="4" w:space="0" w:color="BFBFBF"/>
            </w:tcBorders>
            <w:tcMar>
              <w:top w:w="25" w:type="dxa"/>
              <w:left w:w="80" w:type="dxa"/>
              <w:bottom w:w="25" w:type="dxa"/>
              <w:right w:w="80" w:type="dxa"/>
            </w:tcMar>
          </w:tcPr>
          <w:p w14:paraId="529413AD" w14:textId="77777777" w:rsidR="00870B79" w:rsidRDefault="00000000">
            <w:pPr>
              <w:spacing w:line="230" w:lineRule="auto"/>
              <w:jc w:val="center"/>
            </w:pPr>
            <w:r>
              <w:rPr>
                <w:rFonts w:eastAsia="Calibri"/>
                <w:sz w:val="18"/>
                <w:szCs w:val="18"/>
              </w:rPr>
              <w:t>12.3</w:t>
            </w:r>
          </w:p>
        </w:tc>
        <w:tc>
          <w:tcPr>
            <w:tcW w:w="1070" w:type="dxa"/>
            <w:tcBorders>
              <w:top w:val="single" w:sz="4" w:space="0" w:color="BFBFBF"/>
              <w:left w:val="single" w:sz="4" w:space="0" w:color="BFBFBF"/>
              <w:bottom w:val="single" w:sz="4" w:space="0" w:color="BFBFBF"/>
              <w:right w:val="single" w:sz="4" w:space="0" w:color="BFBFBF"/>
            </w:tcBorders>
            <w:tcMar>
              <w:top w:w="25" w:type="dxa"/>
              <w:left w:w="80" w:type="dxa"/>
              <w:bottom w:w="25" w:type="dxa"/>
              <w:right w:w="80" w:type="dxa"/>
            </w:tcMar>
          </w:tcPr>
          <w:p w14:paraId="15C3BF86" w14:textId="77777777" w:rsidR="00870B79" w:rsidRDefault="00000000">
            <w:pPr>
              <w:spacing w:line="230" w:lineRule="auto"/>
              <w:jc w:val="center"/>
            </w:pPr>
            <w:r>
              <w:rPr>
                <w:rFonts w:eastAsia="Calibri"/>
                <w:sz w:val="18"/>
                <w:szCs w:val="18"/>
              </w:rPr>
              <w:t>14.2</w:t>
            </w:r>
          </w:p>
        </w:tc>
        <w:tc>
          <w:tcPr>
            <w:tcW w:w="1150" w:type="dxa"/>
            <w:tcBorders>
              <w:top w:val="single" w:sz="4" w:space="0" w:color="BFBFBF"/>
              <w:left w:val="single" w:sz="4" w:space="0" w:color="BFBFBF"/>
              <w:bottom w:val="single" w:sz="4" w:space="0" w:color="BFBFBF"/>
              <w:right w:val="single" w:sz="4" w:space="0" w:color="BFBFBF"/>
            </w:tcBorders>
            <w:tcMar>
              <w:top w:w="25" w:type="dxa"/>
              <w:left w:w="80" w:type="dxa"/>
              <w:bottom w:w="25" w:type="dxa"/>
              <w:right w:w="80" w:type="dxa"/>
            </w:tcMar>
          </w:tcPr>
          <w:p w14:paraId="11972BD5" w14:textId="77777777" w:rsidR="00870B79" w:rsidRDefault="00000000">
            <w:pPr>
              <w:spacing w:line="230" w:lineRule="auto"/>
              <w:jc w:val="center"/>
            </w:pPr>
            <w:r>
              <w:rPr>
                <w:rFonts w:eastAsia="Calibri"/>
                <w:sz w:val="18"/>
                <w:szCs w:val="18"/>
              </w:rPr>
              <w:t>15.3</w:t>
            </w:r>
          </w:p>
        </w:tc>
        <w:tc>
          <w:tcPr>
            <w:tcW w:w="1070" w:type="dxa"/>
            <w:tcBorders>
              <w:top w:val="single" w:sz="4" w:space="0" w:color="BFBFBF"/>
              <w:left w:val="single" w:sz="4" w:space="0" w:color="BFBFBF"/>
              <w:bottom w:val="single" w:sz="4" w:space="0" w:color="BFBFBF"/>
              <w:right w:val="single" w:sz="4" w:space="0" w:color="BFBFBF"/>
            </w:tcBorders>
            <w:tcMar>
              <w:top w:w="25" w:type="dxa"/>
              <w:left w:w="80" w:type="dxa"/>
              <w:bottom w:w="25" w:type="dxa"/>
              <w:right w:w="80" w:type="dxa"/>
            </w:tcMar>
          </w:tcPr>
          <w:p w14:paraId="6F794E09" w14:textId="77777777" w:rsidR="00870B79" w:rsidRDefault="00000000">
            <w:pPr>
              <w:spacing w:line="230" w:lineRule="auto"/>
              <w:jc w:val="center"/>
            </w:pPr>
            <w:r>
              <w:rPr>
                <w:rFonts w:eastAsia="Calibri"/>
                <w:sz w:val="18"/>
                <w:szCs w:val="18"/>
              </w:rPr>
              <w:t>15.9</w:t>
            </w:r>
          </w:p>
        </w:tc>
        <w:tc>
          <w:tcPr>
            <w:tcW w:w="1360" w:type="dxa"/>
            <w:tcBorders>
              <w:top w:val="single" w:sz="4" w:space="0" w:color="BFBFBF"/>
              <w:left w:val="single" w:sz="4" w:space="0" w:color="BFBFBF"/>
              <w:bottom w:val="single" w:sz="4" w:space="0" w:color="BFBFBF"/>
              <w:right w:val="single" w:sz="4" w:space="0" w:color="BFBFBF"/>
            </w:tcBorders>
            <w:tcMar>
              <w:top w:w="25" w:type="dxa"/>
              <w:left w:w="80" w:type="dxa"/>
              <w:bottom w:w="25" w:type="dxa"/>
              <w:right w:w="80" w:type="dxa"/>
            </w:tcMar>
          </w:tcPr>
          <w:p w14:paraId="1BB3B04C" w14:textId="77777777" w:rsidR="00870B79" w:rsidRDefault="00000000">
            <w:pPr>
              <w:spacing w:line="230" w:lineRule="auto"/>
              <w:jc w:val="center"/>
            </w:pPr>
            <w:r>
              <w:rPr>
                <w:rFonts w:eastAsia="Calibri"/>
                <w:sz w:val="18"/>
                <w:szCs w:val="18"/>
              </w:rPr>
              <w:t>18.3</w:t>
            </w:r>
          </w:p>
        </w:tc>
      </w:tr>
      <w:tr w:rsidR="00870B79" w14:paraId="1F8F8B58" w14:textId="77777777">
        <w:tblPrEx>
          <w:tblCellMar>
            <w:top w:w="0" w:type="dxa"/>
            <w:bottom w:w="0" w:type="dxa"/>
          </w:tblCellMar>
        </w:tblPrEx>
        <w:trPr>
          <w:cantSplit/>
        </w:trPr>
        <w:tc>
          <w:tcPr>
            <w:tcW w:w="1906" w:type="dxa"/>
            <w:tcBorders>
              <w:top w:val="single" w:sz="4" w:space="0" w:color="BFBFBF"/>
              <w:left w:val="single" w:sz="4" w:space="0" w:color="BFBFBF"/>
              <w:bottom w:val="single" w:sz="4" w:space="0" w:color="BFBFBF"/>
              <w:right w:val="single" w:sz="4" w:space="0" w:color="BFBFBF"/>
            </w:tcBorders>
            <w:tcMar>
              <w:top w:w="25" w:type="dxa"/>
              <w:left w:w="80" w:type="dxa"/>
              <w:bottom w:w="25" w:type="dxa"/>
              <w:right w:w="80" w:type="dxa"/>
            </w:tcMar>
          </w:tcPr>
          <w:p w14:paraId="43C8F46B" w14:textId="77777777" w:rsidR="00870B79" w:rsidRDefault="00000000">
            <w:pPr>
              <w:spacing w:line="230" w:lineRule="auto"/>
              <w:jc w:val="center"/>
            </w:pPr>
            <w:r>
              <w:rPr>
                <w:rFonts w:eastAsia="Calibri"/>
                <w:b/>
                <w:bCs/>
                <w:sz w:val="18"/>
                <w:szCs w:val="18"/>
              </w:rPr>
              <w:t>North America</w:t>
            </w:r>
          </w:p>
        </w:tc>
        <w:tc>
          <w:tcPr>
            <w:tcW w:w="700" w:type="dxa"/>
            <w:tcBorders>
              <w:top w:val="single" w:sz="4" w:space="0" w:color="BFBFBF"/>
              <w:left w:val="single" w:sz="4" w:space="0" w:color="BFBFBF"/>
              <w:bottom w:val="single" w:sz="4" w:space="0" w:color="BFBFBF"/>
              <w:right w:val="single" w:sz="4" w:space="0" w:color="BFBFBF"/>
            </w:tcBorders>
            <w:tcMar>
              <w:top w:w="25" w:type="dxa"/>
              <w:left w:w="80" w:type="dxa"/>
              <w:bottom w:w="25" w:type="dxa"/>
              <w:right w:w="80" w:type="dxa"/>
            </w:tcMar>
          </w:tcPr>
          <w:p w14:paraId="0F5576FA" w14:textId="77777777" w:rsidR="00870B79" w:rsidRDefault="00000000">
            <w:pPr>
              <w:spacing w:line="230" w:lineRule="auto"/>
              <w:jc w:val="center"/>
            </w:pPr>
            <w:r>
              <w:rPr>
                <w:rFonts w:eastAsia="Calibri"/>
                <w:sz w:val="18"/>
                <w:szCs w:val="18"/>
              </w:rPr>
              <w:t>48</w:t>
            </w:r>
          </w:p>
        </w:tc>
        <w:tc>
          <w:tcPr>
            <w:tcW w:w="1070" w:type="dxa"/>
            <w:tcBorders>
              <w:top w:val="single" w:sz="4" w:space="0" w:color="BFBFBF"/>
              <w:left w:val="single" w:sz="4" w:space="0" w:color="BFBFBF"/>
              <w:bottom w:val="single" w:sz="4" w:space="0" w:color="BFBFBF"/>
              <w:right w:val="single" w:sz="4" w:space="0" w:color="BFBFBF"/>
            </w:tcBorders>
            <w:tcMar>
              <w:top w:w="25" w:type="dxa"/>
              <w:left w:w="80" w:type="dxa"/>
              <w:bottom w:w="25" w:type="dxa"/>
              <w:right w:w="80" w:type="dxa"/>
            </w:tcMar>
          </w:tcPr>
          <w:p w14:paraId="5CC220F2" w14:textId="77777777" w:rsidR="00870B79" w:rsidRDefault="00000000">
            <w:pPr>
              <w:spacing w:line="230" w:lineRule="auto"/>
              <w:jc w:val="center"/>
            </w:pPr>
            <w:r>
              <w:rPr>
                <w:rFonts w:eastAsia="Calibri"/>
                <w:sz w:val="18"/>
                <w:szCs w:val="18"/>
              </w:rPr>
              <w:t>16.06</w:t>
            </w:r>
          </w:p>
        </w:tc>
        <w:tc>
          <w:tcPr>
            <w:tcW w:w="1070" w:type="dxa"/>
            <w:tcBorders>
              <w:top w:val="single" w:sz="4" w:space="0" w:color="BFBFBF"/>
              <w:left w:val="single" w:sz="4" w:space="0" w:color="BFBFBF"/>
              <w:bottom w:val="single" w:sz="4" w:space="0" w:color="BFBFBF"/>
              <w:right w:val="single" w:sz="4" w:space="0" w:color="BFBFBF"/>
            </w:tcBorders>
            <w:tcMar>
              <w:top w:w="25" w:type="dxa"/>
              <w:left w:w="80" w:type="dxa"/>
              <w:bottom w:w="25" w:type="dxa"/>
              <w:right w:w="80" w:type="dxa"/>
            </w:tcMar>
          </w:tcPr>
          <w:p w14:paraId="1E76D2BC" w14:textId="77777777" w:rsidR="00870B79" w:rsidRDefault="00000000">
            <w:pPr>
              <w:spacing w:line="230" w:lineRule="auto"/>
              <w:jc w:val="center"/>
            </w:pPr>
            <w:r>
              <w:rPr>
                <w:rFonts w:eastAsia="Calibri"/>
                <w:sz w:val="18"/>
                <w:szCs w:val="18"/>
              </w:rPr>
              <w:t>2.36</w:t>
            </w:r>
          </w:p>
        </w:tc>
        <w:tc>
          <w:tcPr>
            <w:tcW w:w="1070" w:type="dxa"/>
            <w:tcBorders>
              <w:top w:val="single" w:sz="4" w:space="0" w:color="BFBFBF"/>
              <w:left w:val="single" w:sz="4" w:space="0" w:color="BFBFBF"/>
              <w:bottom w:val="single" w:sz="4" w:space="0" w:color="BFBFBF"/>
              <w:right w:val="single" w:sz="4" w:space="0" w:color="BFBFBF"/>
            </w:tcBorders>
            <w:tcMar>
              <w:top w:w="25" w:type="dxa"/>
              <w:left w:w="80" w:type="dxa"/>
              <w:bottom w:w="25" w:type="dxa"/>
              <w:right w:w="80" w:type="dxa"/>
            </w:tcMar>
          </w:tcPr>
          <w:p w14:paraId="4F7F4293" w14:textId="77777777" w:rsidR="00870B79" w:rsidRDefault="00000000">
            <w:pPr>
              <w:spacing w:line="230" w:lineRule="auto"/>
              <w:jc w:val="center"/>
            </w:pPr>
            <w:r>
              <w:rPr>
                <w:rFonts w:eastAsia="Calibri"/>
                <w:sz w:val="18"/>
                <w:szCs w:val="18"/>
              </w:rPr>
              <w:t>12.6</w:t>
            </w:r>
          </w:p>
        </w:tc>
        <w:tc>
          <w:tcPr>
            <w:tcW w:w="1070" w:type="dxa"/>
            <w:tcBorders>
              <w:top w:val="single" w:sz="4" w:space="0" w:color="BFBFBF"/>
              <w:left w:val="single" w:sz="4" w:space="0" w:color="BFBFBF"/>
              <w:bottom w:val="single" w:sz="4" w:space="0" w:color="BFBFBF"/>
              <w:right w:val="single" w:sz="4" w:space="0" w:color="BFBFBF"/>
            </w:tcBorders>
            <w:tcMar>
              <w:top w:w="25" w:type="dxa"/>
              <w:left w:w="80" w:type="dxa"/>
              <w:bottom w:w="25" w:type="dxa"/>
              <w:right w:w="80" w:type="dxa"/>
            </w:tcMar>
          </w:tcPr>
          <w:p w14:paraId="6029D7CB" w14:textId="77777777" w:rsidR="00870B79" w:rsidRDefault="00000000">
            <w:pPr>
              <w:spacing w:line="230" w:lineRule="auto"/>
              <w:jc w:val="center"/>
            </w:pPr>
            <w:r>
              <w:rPr>
                <w:rFonts w:eastAsia="Calibri"/>
                <w:sz w:val="18"/>
                <w:szCs w:val="18"/>
              </w:rPr>
              <w:t>14.4</w:t>
            </w:r>
          </w:p>
        </w:tc>
        <w:tc>
          <w:tcPr>
            <w:tcW w:w="1150" w:type="dxa"/>
            <w:tcBorders>
              <w:top w:val="single" w:sz="4" w:space="0" w:color="BFBFBF"/>
              <w:left w:val="single" w:sz="4" w:space="0" w:color="BFBFBF"/>
              <w:bottom w:val="single" w:sz="4" w:space="0" w:color="BFBFBF"/>
              <w:right w:val="single" w:sz="4" w:space="0" w:color="BFBFBF"/>
            </w:tcBorders>
            <w:tcMar>
              <w:top w:w="25" w:type="dxa"/>
              <w:left w:w="80" w:type="dxa"/>
              <w:bottom w:w="25" w:type="dxa"/>
              <w:right w:w="80" w:type="dxa"/>
            </w:tcMar>
          </w:tcPr>
          <w:p w14:paraId="40487125" w14:textId="77777777" w:rsidR="00870B79" w:rsidRDefault="00000000">
            <w:pPr>
              <w:spacing w:line="230" w:lineRule="auto"/>
              <w:jc w:val="center"/>
            </w:pPr>
            <w:r>
              <w:rPr>
                <w:rFonts w:eastAsia="Calibri"/>
                <w:sz w:val="18"/>
                <w:szCs w:val="18"/>
              </w:rPr>
              <w:t>15.3</w:t>
            </w:r>
          </w:p>
        </w:tc>
        <w:tc>
          <w:tcPr>
            <w:tcW w:w="1070" w:type="dxa"/>
            <w:tcBorders>
              <w:top w:val="single" w:sz="4" w:space="0" w:color="BFBFBF"/>
              <w:left w:val="single" w:sz="4" w:space="0" w:color="BFBFBF"/>
              <w:bottom w:val="single" w:sz="4" w:space="0" w:color="BFBFBF"/>
              <w:right w:val="single" w:sz="4" w:space="0" w:color="BFBFBF"/>
            </w:tcBorders>
            <w:tcMar>
              <w:top w:w="25" w:type="dxa"/>
              <w:left w:w="80" w:type="dxa"/>
              <w:bottom w:w="25" w:type="dxa"/>
              <w:right w:w="80" w:type="dxa"/>
            </w:tcMar>
          </w:tcPr>
          <w:p w14:paraId="36296F95" w14:textId="77777777" w:rsidR="00870B79" w:rsidRDefault="00000000">
            <w:pPr>
              <w:spacing w:line="230" w:lineRule="auto"/>
              <w:jc w:val="center"/>
            </w:pPr>
            <w:r>
              <w:rPr>
                <w:rFonts w:eastAsia="Calibri"/>
                <w:sz w:val="18"/>
                <w:szCs w:val="18"/>
              </w:rPr>
              <w:t>17.1</w:t>
            </w:r>
          </w:p>
        </w:tc>
        <w:tc>
          <w:tcPr>
            <w:tcW w:w="1360" w:type="dxa"/>
            <w:tcBorders>
              <w:top w:val="single" w:sz="4" w:space="0" w:color="BFBFBF"/>
              <w:left w:val="single" w:sz="4" w:space="0" w:color="BFBFBF"/>
              <w:bottom w:val="single" w:sz="4" w:space="0" w:color="BFBFBF"/>
              <w:right w:val="single" w:sz="4" w:space="0" w:color="BFBFBF"/>
            </w:tcBorders>
            <w:tcMar>
              <w:top w:w="25" w:type="dxa"/>
              <w:left w:w="80" w:type="dxa"/>
              <w:bottom w:w="25" w:type="dxa"/>
              <w:right w:w="80" w:type="dxa"/>
            </w:tcMar>
          </w:tcPr>
          <w:p w14:paraId="6EAA8A7B" w14:textId="77777777" w:rsidR="00870B79" w:rsidRDefault="00000000">
            <w:pPr>
              <w:spacing w:line="230" w:lineRule="auto"/>
              <w:jc w:val="center"/>
            </w:pPr>
            <w:r>
              <w:rPr>
                <w:rFonts w:eastAsia="Calibri"/>
                <w:sz w:val="18"/>
                <w:szCs w:val="18"/>
              </w:rPr>
              <w:t>21.8</w:t>
            </w:r>
          </w:p>
        </w:tc>
      </w:tr>
    </w:tbl>
    <w:p w14:paraId="60E16FC8" w14:textId="77777777" w:rsidR="00870B79" w:rsidRDefault="00000000">
      <w:pPr>
        <w:spacing w:before="40" w:after="60" w:line="250" w:lineRule="auto"/>
      </w:pPr>
      <w:r>
        <w:rPr>
          <w:rFonts w:eastAsia="Calibri"/>
          <w:sz w:val="18"/>
          <w:szCs w:val="18"/>
        </w:rPr>
        <w:t xml:space="preserve">Summary statistics are calculated from the raw data. </w:t>
      </w:r>
      <w:r>
        <w:rPr>
          <w:rFonts w:eastAsia="Calibri"/>
          <w:b/>
          <w:bCs/>
          <w:sz w:val="18"/>
          <w:szCs w:val="18"/>
        </w:rPr>
        <w:t>Extreme values:</w:t>
      </w:r>
      <w:r>
        <w:rPr>
          <w:rFonts w:eastAsia="Calibri"/>
          <w:sz w:val="18"/>
          <w:szCs w:val="18"/>
        </w:rPr>
        <w:t xml:space="preserve"> Europe — two smallest 12.3, 12.5; two largest 18.1, 18.3. North America — two smallest 12.6, 12.9; three largest 20.6, 21.3, 21.8.</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870B79" w14:paraId="267CA2EC" w14:textId="77777777">
        <w:tblPrEx>
          <w:tblCellMar>
            <w:top w:w="0" w:type="dxa"/>
            <w:bottom w:w="0" w:type="dxa"/>
          </w:tblCellMar>
        </w:tblPrEx>
        <w:tc>
          <w:tcPr>
            <w:tcW w:w="10466" w:type="dxa"/>
            <w:tcBorders>
              <w:top w:val="single" w:sz="6" w:space="0" w:color="BF8F00"/>
              <w:left w:val="single" w:sz="6" w:space="0" w:color="BF8F00"/>
              <w:bottom w:val="single" w:sz="6" w:space="0" w:color="BF8F00"/>
              <w:right w:val="single" w:sz="6" w:space="0" w:color="BF8F00"/>
            </w:tcBorders>
            <w:shd w:val="clear" w:color="auto" w:fill="FFF4CE"/>
            <w:tcMar>
              <w:top w:w="50" w:type="dxa"/>
              <w:left w:w="110" w:type="dxa"/>
              <w:bottom w:w="50" w:type="dxa"/>
              <w:right w:w="110" w:type="dxa"/>
            </w:tcMar>
          </w:tcPr>
          <w:p w14:paraId="438A2A11" w14:textId="77777777" w:rsidR="00870B79" w:rsidRDefault="00000000">
            <w:pPr>
              <w:spacing w:line="250" w:lineRule="auto"/>
            </w:pPr>
            <w:r>
              <w:rPr>
                <w:rFonts w:eastAsia="Calibri"/>
                <w:b/>
                <w:bCs/>
                <w:sz w:val="20"/>
                <w:szCs w:val="20"/>
              </w:rPr>
              <w:t>Task (20 points):</w:t>
            </w:r>
            <w:r>
              <w:rPr>
                <w:rFonts w:eastAsia="Calibri"/>
                <w:sz w:val="20"/>
                <w:szCs w:val="20"/>
              </w:rPr>
              <w:t xml:space="preserve"> Compare the distributions of S-M ratios for the branches in Europe and North America. Address </w:t>
            </w:r>
            <w:r>
              <w:rPr>
                <w:rFonts w:eastAsia="Calibri"/>
                <w:b/>
                <w:bCs/>
                <w:sz w:val="20"/>
                <w:szCs w:val="20"/>
              </w:rPr>
              <w:t>shape, outliers, center, and spread</w:t>
            </w:r>
            <w:r>
              <w:rPr>
                <w:rFonts w:eastAsia="Calibri"/>
                <w:sz w:val="20"/>
                <w:szCs w:val="20"/>
              </w:rPr>
              <w:t xml:space="preserve">, justify your answers with appropriate calculations, and </w:t>
            </w:r>
            <w:r>
              <w:rPr>
                <w:rFonts w:eastAsia="Calibri"/>
                <w:b/>
                <w:bCs/>
                <w:sz w:val="20"/>
                <w:szCs w:val="20"/>
              </w:rPr>
              <w:t>interpret your results in context</w:t>
            </w:r>
            <w:r>
              <w:rPr>
                <w:rFonts w:eastAsia="Calibri"/>
                <w:sz w:val="20"/>
                <w:szCs w:val="20"/>
              </w:rPr>
              <w:t>.</w:t>
            </w:r>
          </w:p>
        </w:tc>
      </w:tr>
    </w:tbl>
    <w:p w14:paraId="1682FBEC" w14:textId="77777777" w:rsidR="00870B79" w:rsidRDefault="00870B79">
      <w:pPr>
        <w:spacing w:after="5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33"/>
        <w:gridCol w:w="200"/>
        <w:gridCol w:w="4533"/>
      </w:tblGrid>
      <w:tr w:rsidR="00870B79" w14:paraId="73682F94" w14:textId="77777777">
        <w:tblPrEx>
          <w:tblCellMar>
            <w:top w:w="0" w:type="dxa"/>
            <w:bottom w:w="0" w:type="dxa"/>
          </w:tblCellMar>
        </w:tblPrEx>
        <w:tc>
          <w:tcPr>
            <w:tcW w:w="5733" w:type="dxa"/>
            <w:tcBorders>
              <w:top w:val="single" w:sz="6" w:space="0" w:color="2E75B6"/>
              <w:left w:val="single" w:sz="6" w:space="0" w:color="2E75B6"/>
              <w:bottom w:val="single" w:sz="6" w:space="0" w:color="2E75B6"/>
              <w:right w:val="single" w:sz="6" w:space="0" w:color="2E75B6"/>
            </w:tcBorders>
            <w:shd w:val="clear" w:color="auto" w:fill="EAF1FB"/>
            <w:tcMar>
              <w:top w:w="60" w:type="dxa"/>
              <w:left w:w="110" w:type="dxa"/>
              <w:bottom w:w="60" w:type="dxa"/>
              <w:right w:w="110" w:type="dxa"/>
            </w:tcMar>
          </w:tcPr>
          <w:p w14:paraId="3A074B73" w14:textId="77777777" w:rsidR="00870B79" w:rsidRDefault="00000000">
            <w:pPr>
              <w:spacing w:after="30" w:line="250" w:lineRule="auto"/>
            </w:pPr>
            <w:r>
              <w:rPr>
                <w:rFonts w:eastAsia="Calibri"/>
                <w:b/>
                <w:bCs/>
                <w:color w:val="1F3864"/>
              </w:rPr>
              <w:t>Comparison Checklist</w:t>
            </w:r>
          </w:p>
          <w:p w14:paraId="44E655E4" w14:textId="77777777" w:rsidR="00870B79" w:rsidRDefault="00000000">
            <w:pPr>
              <w:spacing w:after="30" w:line="250" w:lineRule="auto"/>
            </w:pPr>
            <w:r>
              <w:rPr>
                <w:rFonts w:eastAsia="Calibri"/>
                <w:b/>
                <w:bCs/>
                <w:sz w:val="17"/>
                <w:szCs w:val="17"/>
              </w:rPr>
              <w:t>Shape:</w:t>
            </w:r>
            <w:r>
              <w:rPr>
                <w:rFonts w:eastAsia="Calibri"/>
                <w:sz w:val="17"/>
                <w:szCs w:val="17"/>
              </w:rPr>
              <w:t xml:space="preserve"> Describe the shape of </w:t>
            </w:r>
            <w:r>
              <w:rPr>
                <w:rFonts w:eastAsia="Calibri"/>
                <w:b/>
                <w:bCs/>
                <w:sz w:val="17"/>
                <w:szCs w:val="17"/>
              </w:rPr>
              <w:t>each</w:t>
            </w:r>
            <w:r>
              <w:rPr>
                <w:rFonts w:eastAsia="Calibri"/>
                <w:sz w:val="17"/>
                <w:szCs w:val="17"/>
              </w:rPr>
              <w:t xml:space="preserve"> distribution (peaks; symmetric or skewed). State how the two shapes </w:t>
            </w:r>
            <w:r>
              <w:rPr>
                <w:rFonts w:eastAsia="Calibri"/>
                <w:b/>
                <w:bCs/>
                <w:sz w:val="17"/>
                <w:szCs w:val="17"/>
              </w:rPr>
              <w:t>differ</w:t>
            </w:r>
            <w:r>
              <w:rPr>
                <w:rFonts w:eastAsia="Calibri"/>
                <w:sz w:val="17"/>
                <w:szCs w:val="17"/>
              </w:rPr>
              <w:t>. Give evidence.</w:t>
            </w:r>
          </w:p>
          <w:p w14:paraId="5379E0DF" w14:textId="77777777" w:rsidR="00870B79" w:rsidRDefault="00000000">
            <w:pPr>
              <w:spacing w:after="30" w:line="250" w:lineRule="auto"/>
            </w:pPr>
            <w:r>
              <w:rPr>
                <w:rFonts w:eastAsia="Calibri"/>
                <w:b/>
                <w:bCs/>
                <w:sz w:val="17"/>
                <w:szCs w:val="17"/>
              </w:rPr>
              <w:t>Outliers:</w:t>
            </w:r>
            <w:r>
              <w:rPr>
                <w:rFonts w:eastAsia="Calibri"/>
                <w:sz w:val="17"/>
                <w:szCs w:val="17"/>
              </w:rPr>
              <w:t xml:space="preserve"> Use the 1.5 × IQR rule to find the fences for </w:t>
            </w:r>
            <w:r>
              <w:rPr>
                <w:rFonts w:eastAsia="Calibri"/>
                <w:b/>
                <w:bCs/>
                <w:sz w:val="17"/>
                <w:szCs w:val="17"/>
              </w:rPr>
              <w:t>each</w:t>
            </w:r>
            <w:r>
              <w:rPr>
                <w:rFonts w:eastAsia="Calibri"/>
                <w:sz w:val="17"/>
                <w:szCs w:val="17"/>
              </w:rPr>
              <w:t xml:space="preserve"> region. Check the extreme values. Which region has outliers, and which values?</w:t>
            </w:r>
          </w:p>
          <w:p w14:paraId="05B4AB13" w14:textId="77777777" w:rsidR="00870B79" w:rsidRDefault="00000000">
            <w:pPr>
              <w:spacing w:after="30" w:line="250" w:lineRule="auto"/>
            </w:pPr>
            <w:r>
              <w:rPr>
                <w:rFonts w:eastAsia="Calibri"/>
                <w:b/>
                <w:bCs/>
                <w:sz w:val="17"/>
                <w:szCs w:val="17"/>
              </w:rPr>
              <w:t>Center:</w:t>
            </w:r>
            <w:r>
              <w:rPr>
                <w:rFonts w:eastAsia="Calibri"/>
                <w:sz w:val="17"/>
                <w:szCs w:val="17"/>
              </w:rPr>
              <w:t xml:space="preserve"> Choose the better measure and explain why. Report it for </w:t>
            </w:r>
            <w:r>
              <w:rPr>
                <w:rFonts w:eastAsia="Calibri"/>
                <w:b/>
                <w:bCs/>
                <w:sz w:val="17"/>
                <w:szCs w:val="17"/>
              </w:rPr>
              <w:t>both</w:t>
            </w:r>
            <w:r>
              <w:rPr>
                <w:rFonts w:eastAsia="Calibri"/>
                <w:sz w:val="17"/>
                <w:szCs w:val="17"/>
              </w:rPr>
              <w:t xml:space="preserve"> regions and compare. Do </w:t>
            </w:r>
            <w:proofErr w:type="gramStart"/>
            <w:r>
              <w:rPr>
                <w:rFonts w:eastAsia="Calibri"/>
                <w:sz w:val="17"/>
                <w:szCs w:val="17"/>
              </w:rPr>
              <w:t>the</w:t>
            </w:r>
            <w:proofErr w:type="gramEnd"/>
            <w:r>
              <w:rPr>
                <w:rFonts w:eastAsia="Calibri"/>
                <w:sz w:val="17"/>
                <w:szCs w:val="17"/>
              </w:rPr>
              <w:t xml:space="preserve"> </w:t>
            </w:r>
            <w:proofErr w:type="gramStart"/>
            <w:r>
              <w:rPr>
                <w:rFonts w:eastAsia="Calibri"/>
                <w:sz w:val="17"/>
                <w:szCs w:val="17"/>
              </w:rPr>
              <w:t>means tell</w:t>
            </w:r>
            <w:proofErr w:type="gramEnd"/>
            <w:r>
              <w:rPr>
                <w:rFonts w:eastAsia="Calibri"/>
                <w:sz w:val="17"/>
                <w:szCs w:val="17"/>
              </w:rPr>
              <w:t xml:space="preserve"> the same story? Why or why not?</w:t>
            </w:r>
          </w:p>
          <w:p w14:paraId="7F13A621" w14:textId="77777777" w:rsidR="00870B79" w:rsidRDefault="00000000">
            <w:pPr>
              <w:spacing w:after="30" w:line="250" w:lineRule="auto"/>
            </w:pPr>
            <w:r>
              <w:rPr>
                <w:rFonts w:eastAsia="Calibri"/>
                <w:b/>
                <w:bCs/>
                <w:sz w:val="17"/>
                <w:szCs w:val="17"/>
              </w:rPr>
              <w:t>Spread:</w:t>
            </w:r>
            <w:r>
              <w:rPr>
                <w:rFonts w:eastAsia="Calibri"/>
                <w:sz w:val="17"/>
                <w:szCs w:val="17"/>
              </w:rPr>
              <w:t xml:space="preserve"> Choose the better measure and explain why. Report it for </w:t>
            </w:r>
            <w:r>
              <w:rPr>
                <w:rFonts w:eastAsia="Calibri"/>
                <w:b/>
                <w:bCs/>
                <w:sz w:val="17"/>
                <w:szCs w:val="17"/>
              </w:rPr>
              <w:t>both</w:t>
            </w:r>
            <w:r>
              <w:rPr>
                <w:rFonts w:eastAsia="Calibri"/>
                <w:sz w:val="17"/>
                <w:szCs w:val="17"/>
              </w:rPr>
              <w:t xml:space="preserve"> regions and compare. Describe the middle 50% in each region.</w:t>
            </w:r>
          </w:p>
          <w:p w14:paraId="2FD942F7" w14:textId="77777777" w:rsidR="00870B79" w:rsidRDefault="00000000">
            <w:pPr>
              <w:spacing w:line="250" w:lineRule="auto"/>
            </w:pPr>
            <w:r>
              <w:rPr>
                <w:rFonts w:eastAsia="Calibri"/>
                <w:b/>
                <w:bCs/>
                <w:sz w:val="17"/>
                <w:szCs w:val="17"/>
              </w:rPr>
              <w:t>Context:</w:t>
            </w:r>
            <w:r>
              <w:rPr>
                <w:rFonts w:eastAsia="Calibri"/>
                <w:sz w:val="17"/>
                <w:szCs w:val="17"/>
              </w:rPr>
              <w:t xml:space="preserve"> Name both groups. Use units. Explain what the comparison means for the branches.</w:t>
            </w:r>
          </w:p>
        </w:tc>
        <w:tc>
          <w:tcPr>
            <w:tcW w:w="200" w:type="dxa"/>
            <w:tcBorders>
              <w:top w:val="none" w:sz="0" w:space="0" w:color="FFFFFF"/>
              <w:left w:val="none" w:sz="0" w:space="0" w:color="FFFFFF"/>
              <w:bottom w:val="none" w:sz="0" w:space="0" w:color="FFFFFF"/>
              <w:right w:val="none" w:sz="0" w:space="0" w:color="FFFFFF"/>
            </w:tcBorders>
          </w:tcPr>
          <w:p w14:paraId="3CEAC4B0" w14:textId="77777777" w:rsidR="00870B79" w:rsidRDefault="00870B79"/>
        </w:tc>
        <w:tc>
          <w:tcPr>
            <w:tcW w:w="4533" w:type="dxa"/>
            <w:tcBorders>
              <w:top w:val="single" w:sz="6" w:space="0" w:color="70AD47"/>
              <w:left w:val="single" w:sz="6" w:space="0" w:color="70AD47"/>
              <w:bottom w:val="single" w:sz="6" w:space="0" w:color="70AD47"/>
              <w:right w:val="single" w:sz="6" w:space="0" w:color="70AD47"/>
            </w:tcBorders>
            <w:shd w:val="clear" w:color="auto" w:fill="F3F7EE"/>
            <w:tcMar>
              <w:top w:w="60" w:type="dxa"/>
              <w:left w:w="110" w:type="dxa"/>
              <w:bottom w:w="60" w:type="dxa"/>
              <w:right w:w="110" w:type="dxa"/>
            </w:tcMar>
          </w:tcPr>
          <w:p w14:paraId="15886E4E" w14:textId="77777777" w:rsidR="00870B79" w:rsidRDefault="00000000">
            <w:pPr>
              <w:spacing w:after="30" w:line="250" w:lineRule="auto"/>
            </w:pPr>
            <w:r>
              <w:rPr>
                <w:rFonts w:eastAsia="Calibri"/>
                <w:b/>
                <w:bCs/>
                <w:color w:val="1F3864"/>
              </w:rPr>
              <w:t>Toolbox</w:t>
            </w:r>
          </w:p>
          <w:p w14:paraId="2DFC5C10" w14:textId="77777777" w:rsidR="00870B79" w:rsidRDefault="00000000">
            <w:pPr>
              <w:spacing w:after="10" w:line="250" w:lineRule="auto"/>
            </w:pPr>
            <w:r>
              <w:rPr>
                <w:rFonts w:eastAsia="Calibri"/>
                <w:sz w:val="17"/>
                <w:szCs w:val="17"/>
              </w:rPr>
              <w:t>IQR = Q3 − Q1</w:t>
            </w:r>
          </w:p>
          <w:p w14:paraId="45648E5B" w14:textId="77777777" w:rsidR="00870B79" w:rsidRDefault="00000000">
            <w:pPr>
              <w:spacing w:after="10" w:line="250" w:lineRule="auto"/>
            </w:pPr>
            <w:r>
              <w:rPr>
                <w:rFonts w:eastAsia="Calibri"/>
                <w:sz w:val="17"/>
                <w:szCs w:val="17"/>
              </w:rPr>
              <w:t>Upper fence = Q3 + 1.5 × IQR</w:t>
            </w:r>
          </w:p>
          <w:p w14:paraId="3DB609E8" w14:textId="77777777" w:rsidR="00870B79" w:rsidRDefault="00000000">
            <w:pPr>
              <w:spacing w:after="20" w:line="250" w:lineRule="auto"/>
            </w:pPr>
            <w:r>
              <w:rPr>
                <w:rFonts w:eastAsia="Calibri"/>
                <w:sz w:val="17"/>
                <w:szCs w:val="17"/>
              </w:rPr>
              <w:t>Lower fence = Q1 − 1.5 × IQR</w:t>
            </w:r>
          </w:p>
          <w:p w14:paraId="0BA6E2C0" w14:textId="77777777" w:rsidR="00870B79" w:rsidRDefault="00000000">
            <w:pPr>
              <w:spacing w:after="50" w:line="250" w:lineRule="auto"/>
            </w:pPr>
            <w:r>
              <w:rPr>
                <w:rFonts w:eastAsia="Calibri"/>
                <w:sz w:val="17"/>
                <w:szCs w:val="17"/>
              </w:rPr>
              <w:t xml:space="preserve">An outlier is a value </w:t>
            </w:r>
            <w:r>
              <w:rPr>
                <w:rFonts w:eastAsia="Calibri"/>
                <w:b/>
                <w:bCs/>
                <w:sz w:val="17"/>
                <w:szCs w:val="17"/>
              </w:rPr>
              <w:t>beyond</w:t>
            </w:r>
            <w:r>
              <w:rPr>
                <w:rFonts w:eastAsia="Calibri"/>
                <w:sz w:val="17"/>
                <w:szCs w:val="17"/>
              </w:rPr>
              <w:t xml:space="preserve"> a fence. With skewness or outliers, compare </w:t>
            </w:r>
            <w:r>
              <w:rPr>
                <w:rFonts w:eastAsia="Calibri"/>
                <w:b/>
                <w:bCs/>
                <w:sz w:val="17"/>
                <w:szCs w:val="17"/>
              </w:rPr>
              <w:t>medians</w:t>
            </w:r>
            <w:r>
              <w:rPr>
                <w:rFonts w:eastAsia="Calibri"/>
                <w:sz w:val="17"/>
                <w:szCs w:val="17"/>
              </w:rPr>
              <w:t xml:space="preserve"> and </w:t>
            </w:r>
            <w:r>
              <w:rPr>
                <w:rFonts w:eastAsia="Calibri"/>
                <w:b/>
                <w:bCs/>
                <w:sz w:val="17"/>
                <w:szCs w:val="17"/>
              </w:rPr>
              <w:t>IQRs</w:t>
            </w:r>
            <w:r>
              <w:rPr>
                <w:rFonts w:eastAsia="Calibri"/>
                <w:sz w:val="17"/>
                <w:szCs w:val="17"/>
              </w:rPr>
              <w:t>.</w:t>
            </w:r>
          </w:p>
          <w:p w14:paraId="1C558E95" w14:textId="77777777" w:rsidR="00870B79" w:rsidRDefault="00000000">
            <w:pPr>
              <w:spacing w:after="30" w:line="250" w:lineRule="auto"/>
            </w:pPr>
            <w:r>
              <w:rPr>
                <w:rFonts w:eastAsia="Calibri"/>
                <w:b/>
                <w:bCs/>
                <w:color w:val="1F3864"/>
              </w:rPr>
              <w:t>Phrase Bank</w:t>
            </w:r>
          </w:p>
          <w:p w14:paraId="194BB1C3" w14:textId="77777777" w:rsidR="00870B79" w:rsidRDefault="00000000">
            <w:pPr>
              <w:spacing w:after="10" w:line="250" w:lineRule="auto"/>
            </w:pPr>
            <w:r>
              <w:rPr>
                <w:rFonts w:eastAsia="Calibri"/>
                <w:sz w:val="17"/>
                <w:szCs w:val="17"/>
              </w:rPr>
              <w:t>Both distributions are …</w:t>
            </w:r>
          </w:p>
          <w:p w14:paraId="07EF5232" w14:textId="77777777" w:rsidR="00870B79" w:rsidRDefault="00000000">
            <w:pPr>
              <w:spacing w:after="10" w:line="250" w:lineRule="auto"/>
            </w:pPr>
            <w:r>
              <w:rPr>
                <w:rFonts w:eastAsia="Calibri"/>
                <w:sz w:val="17"/>
                <w:szCs w:val="17"/>
              </w:rPr>
              <w:t>Europe is …, while North America is …</w:t>
            </w:r>
          </w:p>
          <w:p w14:paraId="0330FF2A" w14:textId="77777777" w:rsidR="00870B79" w:rsidRDefault="00000000">
            <w:pPr>
              <w:spacing w:after="10" w:line="250" w:lineRule="auto"/>
            </w:pPr>
            <w:r>
              <w:rPr>
                <w:rFonts w:eastAsia="Calibri"/>
                <w:sz w:val="17"/>
                <w:szCs w:val="17"/>
              </w:rPr>
              <w:t>Unlike Europe, North America …</w:t>
            </w:r>
          </w:p>
          <w:p w14:paraId="09B9AE2D" w14:textId="77777777" w:rsidR="00870B79" w:rsidRDefault="00000000">
            <w:pPr>
              <w:spacing w:after="10" w:line="250" w:lineRule="auto"/>
            </w:pPr>
            <w:r>
              <w:rPr>
                <w:rFonts w:eastAsia="Calibri"/>
                <w:sz w:val="17"/>
                <w:szCs w:val="17"/>
              </w:rPr>
              <w:t>The medians are the same (… vs. …).</w:t>
            </w:r>
          </w:p>
          <w:p w14:paraId="335BA581" w14:textId="77777777" w:rsidR="00870B79" w:rsidRDefault="00000000">
            <w:pPr>
              <w:spacing w:after="10" w:line="250" w:lineRule="auto"/>
            </w:pPr>
            <w:r>
              <w:rPr>
                <w:rFonts w:eastAsia="Calibri"/>
                <w:sz w:val="17"/>
                <w:szCs w:val="17"/>
              </w:rPr>
              <w:t>… is more variable than …</w:t>
            </w:r>
          </w:p>
          <w:p w14:paraId="5DE91653" w14:textId="77777777" w:rsidR="00870B79" w:rsidRDefault="00000000">
            <w:pPr>
              <w:spacing w:after="10" w:line="250" w:lineRule="auto"/>
            </w:pPr>
            <w:r>
              <w:rPr>
                <w:rFonts w:eastAsia="Calibri"/>
                <w:sz w:val="17"/>
                <w:szCs w:val="17"/>
              </w:rPr>
              <w:t>The IQR for … is larger than …</w:t>
            </w:r>
          </w:p>
          <w:p w14:paraId="520A6241" w14:textId="77777777" w:rsidR="00870B79" w:rsidRDefault="00000000">
            <w:pPr>
              <w:spacing w:line="250" w:lineRule="auto"/>
            </w:pPr>
            <w:r>
              <w:rPr>
                <w:rFonts w:eastAsia="Calibri"/>
                <w:sz w:val="17"/>
                <w:szCs w:val="17"/>
              </w:rPr>
              <w:t>… has … outliers, but … has none.</w:t>
            </w:r>
          </w:p>
        </w:tc>
      </w:tr>
    </w:tbl>
    <w:p w14:paraId="7EF6240B" w14:textId="77777777" w:rsidR="00870B79" w:rsidRDefault="00000000">
      <w:r>
        <w:br w:type="page"/>
      </w:r>
    </w:p>
    <w:sectPr w:rsidR="00870B79">
      <w:footerReference w:type="default" r:id="rId8"/>
      <w:pgSz w:w="11906" w:h="16838"/>
      <w:pgMar w:top="620" w:right="720" w:bottom="6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06BBC" w14:textId="77777777" w:rsidR="00924ED1" w:rsidRDefault="00924ED1">
      <w:r>
        <w:separator/>
      </w:r>
    </w:p>
  </w:endnote>
  <w:endnote w:type="continuationSeparator" w:id="0">
    <w:p w14:paraId="037C4BE8" w14:textId="77777777" w:rsidR="00924ED1" w:rsidRDefault="00924E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1C271" w14:textId="77777777" w:rsidR="00870B79" w:rsidRDefault="00000000">
    <w:pPr>
      <w:jc w:val="center"/>
    </w:pPr>
    <w:r>
      <w:rPr>
        <w:sz w:val="16"/>
        <w:szCs w:val="16"/>
      </w:rPr>
      <w:fldChar w:fldCharType="begin"/>
    </w:r>
    <w:r>
      <w:rPr>
        <w:rFonts w:eastAsia="Calibri"/>
        <w:sz w:val="16"/>
        <w:szCs w:val="16"/>
      </w:rPr>
      <w:instrText>PAGE</w:instrText>
    </w:r>
    <w:r>
      <w:rPr>
        <w:sz w:val="16"/>
        <w:szCs w:val="16"/>
      </w:rPr>
      <w:fldChar w:fldCharType="separate"/>
    </w:r>
    <w:r w:rsidR="00E47F9C">
      <w:rPr>
        <w:rFonts w:eastAsia="Calibri"/>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50102" w14:textId="77777777" w:rsidR="00924ED1" w:rsidRDefault="00924ED1">
      <w:r>
        <w:separator/>
      </w:r>
    </w:p>
  </w:footnote>
  <w:footnote w:type="continuationSeparator" w:id="0">
    <w:p w14:paraId="65BA0EDC" w14:textId="77777777" w:rsidR="00924ED1" w:rsidRDefault="00924E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9E50FF"/>
    <w:multiLevelType w:val="hybridMultilevel"/>
    <w:tmpl w:val="7AE421E6"/>
    <w:lvl w:ilvl="0" w:tplc="C168274C">
      <w:start w:val="1"/>
      <w:numFmt w:val="bullet"/>
      <w:lvlText w:val="●"/>
      <w:lvlJc w:val="left"/>
      <w:pPr>
        <w:ind w:left="720" w:hanging="360"/>
      </w:pPr>
    </w:lvl>
    <w:lvl w:ilvl="1" w:tplc="E9F282A2">
      <w:start w:val="1"/>
      <w:numFmt w:val="bullet"/>
      <w:lvlText w:val="○"/>
      <w:lvlJc w:val="left"/>
      <w:pPr>
        <w:ind w:left="1440" w:hanging="360"/>
      </w:pPr>
    </w:lvl>
    <w:lvl w:ilvl="2" w:tplc="229AB928">
      <w:start w:val="1"/>
      <w:numFmt w:val="bullet"/>
      <w:lvlText w:val="■"/>
      <w:lvlJc w:val="left"/>
      <w:pPr>
        <w:ind w:left="2160" w:hanging="360"/>
      </w:pPr>
    </w:lvl>
    <w:lvl w:ilvl="3" w:tplc="D4EA92D8">
      <w:start w:val="1"/>
      <w:numFmt w:val="bullet"/>
      <w:lvlText w:val="●"/>
      <w:lvlJc w:val="left"/>
      <w:pPr>
        <w:ind w:left="2880" w:hanging="360"/>
      </w:pPr>
    </w:lvl>
    <w:lvl w:ilvl="4" w:tplc="F55C82AA">
      <w:start w:val="1"/>
      <w:numFmt w:val="bullet"/>
      <w:lvlText w:val="○"/>
      <w:lvlJc w:val="left"/>
      <w:pPr>
        <w:ind w:left="3600" w:hanging="360"/>
      </w:pPr>
    </w:lvl>
    <w:lvl w:ilvl="5" w:tplc="2B523C72">
      <w:start w:val="1"/>
      <w:numFmt w:val="bullet"/>
      <w:lvlText w:val="■"/>
      <w:lvlJc w:val="left"/>
      <w:pPr>
        <w:ind w:left="4320" w:hanging="360"/>
      </w:pPr>
    </w:lvl>
    <w:lvl w:ilvl="6" w:tplc="5770B55E">
      <w:start w:val="1"/>
      <w:numFmt w:val="bullet"/>
      <w:lvlText w:val="●"/>
      <w:lvlJc w:val="left"/>
      <w:pPr>
        <w:ind w:left="5040" w:hanging="360"/>
      </w:pPr>
    </w:lvl>
    <w:lvl w:ilvl="7" w:tplc="8BBAFE78">
      <w:start w:val="1"/>
      <w:numFmt w:val="bullet"/>
      <w:lvlText w:val="●"/>
      <w:lvlJc w:val="left"/>
      <w:pPr>
        <w:ind w:left="5760" w:hanging="360"/>
      </w:pPr>
    </w:lvl>
    <w:lvl w:ilvl="8" w:tplc="F2067DC2">
      <w:start w:val="1"/>
      <w:numFmt w:val="bullet"/>
      <w:lvlText w:val="●"/>
      <w:lvlJc w:val="left"/>
      <w:pPr>
        <w:ind w:left="6480" w:hanging="360"/>
      </w:pPr>
    </w:lvl>
  </w:abstractNum>
  <w:num w:numId="1" w16cid:durableId="14408306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B79"/>
    <w:rsid w:val="0067170D"/>
    <w:rsid w:val="00870B79"/>
    <w:rsid w:val="00924ED1"/>
    <w:rsid w:val="00E47F9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EB5CF"/>
  <w15:docId w15:val="{792355E3-8B19-44EC-BCB4-D6BBA220D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19"/>
        <w:szCs w:val="19"/>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327</Words>
  <Characters>1867</Characters>
  <Application>Microsoft Office Word</Application>
  <DocSecurity>0</DocSecurity>
  <Lines>15</Lines>
  <Paragraphs>4</Paragraphs>
  <ScaleCrop>false</ScaleCrop>
  <Company/>
  <LinksUpToDate>false</LinksUpToDate>
  <CharactersWithSpaces>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丁聖曦</cp:lastModifiedBy>
  <cp:revision>2</cp:revision>
  <dcterms:created xsi:type="dcterms:W3CDTF">2026-10-07T13:08:00Z</dcterms:created>
  <dcterms:modified xsi:type="dcterms:W3CDTF">2026-10-12T12:53:00Z</dcterms:modified>
</cp:coreProperties>
</file>